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76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83"/>
        <w:gridCol w:w="3686"/>
      </w:tblGrid>
      <w:tr w:rsidR="00982E61" w:rsidRPr="00FA6836" w:rsidTr="00F93231">
        <w:tc>
          <w:tcPr>
            <w:tcW w:w="3686" w:type="dxa"/>
            <w:vMerge w:val="restart"/>
            <w:tcBorders>
              <w:top w:val="nil"/>
              <w:left w:val="nil"/>
              <w:bottom w:val="nil"/>
              <w:right w:val="nil"/>
            </w:tcBorders>
          </w:tcPr>
          <w:p w:rsidR="00982E61" w:rsidRPr="00C05D9D" w:rsidRDefault="00FA6836" w:rsidP="00B57B70">
            <w:pPr>
              <w:pStyle w:val="1"/>
              <w:spacing w:line="204" w:lineRule="exact"/>
              <w:ind w:left="0" w:firstLine="0"/>
              <w:jc w:val="left"/>
              <w:rPr>
                <w:sz w:val="20"/>
              </w:rPr>
            </w:pPr>
            <w:r>
              <w:rPr>
                <w:sz w:val="20"/>
              </w:rPr>
              <w:t>DZIAŁ  XII</w:t>
            </w:r>
          </w:p>
          <w:p w:rsidR="00982E61" w:rsidRPr="00C05D9D" w:rsidRDefault="00982E61" w:rsidP="00B57B70">
            <w:pPr>
              <w:pStyle w:val="1"/>
              <w:spacing w:line="204" w:lineRule="exact"/>
              <w:ind w:left="0" w:firstLine="0"/>
              <w:jc w:val="left"/>
              <w:rPr>
                <w:b/>
              </w:rPr>
            </w:pPr>
            <w:r w:rsidRPr="00C05D9D">
              <w:rPr>
                <w:b/>
                <w:sz w:val="20"/>
              </w:rPr>
              <w:t>NAUKA I TECHNIKA</w:t>
            </w:r>
            <w:r>
              <w:rPr>
                <w:b/>
                <w:sz w:val="20"/>
              </w:rPr>
              <w:t xml:space="preserve">. </w:t>
            </w:r>
            <w:r w:rsidRPr="003E0E5B">
              <w:rPr>
                <w:rFonts w:eastAsia="Arial" w:cs="Arial"/>
                <w:b/>
                <w:caps/>
                <w:color w:val="231F20"/>
                <w:w w:val="105"/>
                <w:sz w:val="20"/>
              </w:rPr>
              <w:t>Społe</w:t>
            </w:r>
            <w:r>
              <w:rPr>
                <w:rFonts w:eastAsia="Arial" w:cs="Arial"/>
                <w:b/>
                <w:caps/>
                <w:color w:val="231F20"/>
                <w:w w:val="105"/>
                <w:sz w:val="20"/>
              </w:rPr>
              <w:t>-</w:t>
            </w:r>
            <w:r w:rsidRPr="003E0E5B">
              <w:rPr>
                <w:rFonts w:eastAsia="Arial" w:cs="Arial"/>
                <w:b/>
                <w:caps/>
                <w:color w:val="231F20"/>
                <w:w w:val="105"/>
                <w:sz w:val="20"/>
              </w:rPr>
              <w:t>czeństwo</w:t>
            </w:r>
            <w:r w:rsidRPr="003E0E5B">
              <w:rPr>
                <w:rFonts w:eastAsia="Arial" w:cs="Arial"/>
                <w:b/>
                <w:caps/>
                <w:color w:val="231F20"/>
                <w:spacing w:val="28"/>
                <w:w w:val="105"/>
                <w:sz w:val="20"/>
              </w:rPr>
              <w:t xml:space="preserve"> </w:t>
            </w:r>
            <w:r w:rsidRPr="003E0E5B">
              <w:rPr>
                <w:rFonts w:eastAsia="Arial" w:cs="Arial"/>
                <w:b/>
                <w:caps/>
                <w:color w:val="231F20"/>
                <w:w w:val="109"/>
                <w:sz w:val="20"/>
              </w:rPr>
              <w:t>informacyjne</w:t>
            </w:r>
            <w:r w:rsidRPr="003E0E5B">
              <w:rPr>
                <w:b/>
                <w:sz w:val="20"/>
              </w:rPr>
              <w:t xml:space="preserve"> </w:t>
            </w:r>
          </w:p>
          <w:p w:rsidR="00982E61" w:rsidRPr="00C05D9D" w:rsidRDefault="00982E61" w:rsidP="00B57B70">
            <w:pPr>
              <w:pStyle w:val="1"/>
              <w:spacing w:line="960" w:lineRule="exact"/>
              <w:ind w:left="0" w:firstLine="0"/>
              <w:jc w:val="left"/>
              <w:rPr>
                <w:b/>
              </w:rPr>
            </w:pPr>
          </w:p>
          <w:p w:rsidR="00982E61" w:rsidRPr="00880ADE" w:rsidRDefault="00982E61" w:rsidP="00B57B70">
            <w:pPr>
              <w:pStyle w:val="1"/>
              <w:ind w:left="0" w:firstLine="0"/>
              <w:rPr>
                <w:b/>
                <w:sz w:val="18"/>
                <w:szCs w:val="18"/>
              </w:rPr>
            </w:pPr>
            <w:r w:rsidRPr="00880ADE">
              <w:rPr>
                <w:b/>
                <w:sz w:val="18"/>
                <w:szCs w:val="18"/>
              </w:rPr>
              <w:t>Uwagi ogólne</w:t>
            </w:r>
          </w:p>
          <w:p w:rsidR="00982E61" w:rsidRPr="00C05D9D" w:rsidRDefault="00982E61" w:rsidP="00B57B70">
            <w:pPr>
              <w:pStyle w:val="1"/>
              <w:spacing w:line="480" w:lineRule="exact"/>
              <w:ind w:left="0" w:firstLine="0"/>
              <w:jc w:val="left"/>
              <w:rPr>
                <w:b/>
              </w:rPr>
            </w:pPr>
          </w:p>
          <w:p w:rsidR="00982E61" w:rsidRPr="00880ADE" w:rsidRDefault="00982E61" w:rsidP="00B57B70">
            <w:pPr>
              <w:spacing w:line="180" w:lineRule="exact"/>
              <w:jc w:val="both"/>
              <w:rPr>
                <w:rFonts w:ascii="Arial" w:hAnsi="Arial" w:cs="Arial"/>
                <w:b/>
                <w:sz w:val="18"/>
                <w:szCs w:val="18"/>
              </w:rPr>
            </w:pPr>
            <w:r w:rsidRPr="00880ADE">
              <w:rPr>
                <w:rFonts w:ascii="Arial" w:hAnsi="Arial" w:cs="Arial"/>
                <w:b/>
                <w:sz w:val="18"/>
                <w:szCs w:val="18"/>
              </w:rPr>
              <w:t>Nauka i technika</w:t>
            </w:r>
          </w:p>
          <w:p w:rsidR="00982E61" w:rsidRPr="00340A86" w:rsidRDefault="00982E61" w:rsidP="00B57B70">
            <w:pPr>
              <w:spacing w:line="160" w:lineRule="exact"/>
              <w:ind w:right="11" w:firstLine="170"/>
              <w:jc w:val="both"/>
              <w:rPr>
                <w:rFonts w:ascii="Arial" w:hAnsi="Arial" w:cs="Arial"/>
                <w:sz w:val="16"/>
                <w:szCs w:val="16"/>
              </w:rPr>
            </w:pPr>
          </w:p>
          <w:p w:rsidR="00982E61" w:rsidRPr="00982E61" w:rsidRDefault="00982E61" w:rsidP="00B57B70">
            <w:pPr>
              <w:spacing w:before="20" w:line="214" w:lineRule="auto"/>
              <w:ind w:right="11" w:firstLine="170"/>
              <w:jc w:val="both"/>
              <w:rPr>
                <w:rFonts w:ascii="Arial" w:hAnsi="Arial" w:cs="Arial"/>
                <w:color w:val="000000" w:themeColor="text1"/>
                <w:sz w:val="16"/>
                <w:szCs w:val="16"/>
              </w:rPr>
            </w:pPr>
            <w:r w:rsidRPr="00982E61">
              <w:rPr>
                <w:rFonts w:ascii="Arial" w:hAnsi="Arial" w:cs="Arial"/>
                <w:color w:val="000000" w:themeColor="text1"/>
                <w:sz w:val="16"/>
                <w:szCs w:val="16"/>
              </w:rPr>
              <w:t>Działalność badawcza i rozwojowa (B+R) to ogół działań polegających na prowadzeniu i wspieraniu badań naukowych i prac rozwojowych. Jest to praca twórcza, prowadzona w sposób metodyczny, podejmowana w celu zwiększenia zasobów wiedzy, w tym</w:t>
            </w:r>
            <w:r w:rsidR="00572D2F">
              <w:rPr>
                <w:rFonts w:ascii="Arial" w:hAnsi="Arial" w:cs="Arial"/>
                <w:color w:val="000000" w:themeColor="text1"/>
                <w:sz w:val="16"/>
                <w:szCs w:val="16"/>
              </w:rPr>
              <w:t xml:space="preserve"> wiedzy o człowieku, kulturze i </w:t>
            </w:r>
            <w:r w:rsidRPr="00982E61">
              <w:rPr>
                <w:rFonts w:ascii="Arial" w:hAnsi="Arial" w:cs="Arial"/>
                <w:color w:val="000000" w:themeColor="text1"/>
                <w:sz w:val="16"/>
                <w:szCs w:val="16"/>
              </w:rPr>
              <w:t>społeczeństwie oraz w celu tworzenia nowych zastosowań dla wiedzy już istniejącej. Działalność ta obejmuje:</w:t>
            </w:r>
          </w:p>
          <w:p w:rsidR="00982E61" w:rsidRPr="00982E61" w:rsidRDefault="00982E61" w:rsidP="00A1054C">
            <w:pPr>
              <w:widowControl w:val="0"/>
              <w:numPr>
                <w:ilvl w:val="0"/>
                <w:numId w:val="3"/>
              </w:numPr>
              <w:autoSpaceDE w:val="0"/>
              <w:autoSpaceDN w:val="0"/>
              <w:adjustRightInd w:val="0"/>
              <w:spacing w:before="20" w:line="214" w:lineRule="auto"/>
              <w:ind w:right="11"/>
              <w:jc w:val="both"/>
              <w:rPr>
                <w:rFonts w:ascii="Arial" w:hAnsi="Arial" w:cs="Arial"/>
                <w:color w:val="000000" w:themeColor="text1"/>
                <w:sz w:val="16"/>
                <w:szCs w:val="16"/>
              </w:rPr>
            </w:pPr>
            <w:r w:rsidRPr="00982E61">
              <w:rPr>
                <w:rFonts w:ascii="Arial" w:hAnsi="Arial" w:cs="Arial"/>
                <w:b/>
                <w:bCs/>
                <w:color w:val="000000" w:themeColor="text1"/>
                <w:sz w:val="16"/>
                <w:szCs w:val="16"/>
              </w:rPr>
              <w:t>badania podstawowe</w:t>
            </w:r>
            <w:r w:rsidRPr="00982E61">
              <w:rPr>
                <w:rFonts w:ascii="Arial" w:hAnsi="Arial" w:cs="Arial"/>
                <w:bCs/>
                <w:color w:val="000000" w:themeColor="text1"/>
                <w:sz w:val="16"/>
                <w:szCs w:val="16"/>
              </w:rPr>
              <w:t>,</w:t>
            </w:r>
            <w:r w:rsidRPr="00982E61">
              <w:rPr>
                <w:rFonts w:ascii="Arial" w:hAnsi="Arial" w:cs="Arial"/>
                <w:b/>
                <w:bCs/>
                <w:color w:val="000000" w:themeColor="text1"/>
                <w:sz w:val="16"/>
                <w:szCs w:val="16"/>
              </w:rPr>
              <w:t xml:space="preserve"> </w:t>
            </w:r>
            <w:r w:rsidRPr="00982E61">
              <w:rPr>
                <w:rFonts w:ascii="Arial" w:hAnsi="Arial" w:cs="Arial"/>
                <w:color w:val="000000" w:themeColor="text1"/>
                <w:sz w:val="16"/>
                <w:szCs w:val="16"/>
              </w:rPr>
              <w:t>tj. oryginalne prace ba-</w:t>
            </w:r>
            <w:r w:rsidRPr="00982E61">
              <w:rPr>
                <w:rFonts w:ascii="Arial" w:hAnsi="Arial" w:cs="Arial"/>
                <w:color w:val="000000" w:themeColor="text1"/>
                <w:sz w:val="16"/>
                <w:szCs w:val="16"/>
              </w:rPr>
              <w:br/>
              <w:t>dawcze, eksperymentalne lub teoretyczne podejmowane przede wszystkim w celu zdobywania nowej wiedzy o podstawach zjawisk i obserwowalnych faktów bez nastawienia na bezpośrednie zastosowanie komercyjne;</w:t>
            </w:r>
          </w:p>
          <w:p w:rsidR="00982E61" w:rsidRPr="00982E61" w:rsidRDefault="00982E61" w:rsidP="00A1054C">
            <w:pPr>
              <w:widowControl w:val="0"/>
              <w:numPr>
                <w:ilvl w:val="0"/>
                <w:numId w:val="3"/>
              </w:numPr>
              <w:autoSpaceDE w:val="0"/>
              <w:autoSpaceDN w:val="0"/>
              <w:adjustRightInd w:val="0"/>
              <w:spacing w:before="20" w:line="214" w:lineRule="auto"/>
              <w:ind w:right="11"/>
              <w:jc w:val="both"/>
              <w:rPr>
                <w:rFonts w:ascii="Arial" w:hAnsi="Arial" w:cs="Arial"/>
                <w:color w:val="000000" w:themeColor="text1"/>
                <w:sz w:val="16"/>
                <w:szCs w:val="16"/>
              </w:rPr>
            </w:pPr>
            <w:r w:rsidRPr="00982E61">
              <w:rPr>
                <w:rFonts w:ascii="Arial" w:hAnsi="Arial" w:cs="Arial"/>
                <w:b/>
                <w:bCs/>
                <w:color w:val="000000" w:themeColor="text1"/>
                <w:sz w:val="16"/>
                <w:szCs w:val="16"/>
              </w:rPr>
              <w:t xml:space="preserve">badania stosowane </w:t>
            </w:r>
            <w:r w:rsidRPr="00982E61">
              <w:rPr>
                <w:rFonts w:ascii="Arial" w:hAnsi="Arial" w:cs="Arial"/>
                <w:color w:val="000000" w:themeColor="text1"/>
                <w:sz w:val="16"/>
                <w:szCs w:val="16"/>
              </w:rPr>
              <w:t>(aplikacyjne), tj. prace ba</w:t>
            </w:r>
            <w:r w:rsidRPr="00982E61">
              <w:rPr>
                <w:rFonts w:ascii="Arial" w:hAnsi="Arial" w:cs="Arial"/>
                <w:color w:val="000000" w:themeColor="text1"/>
                <w:sz w:val="16"/>
                <w:szCs w:val="16"/>
              </w:rPr>
              <w:softHyphen/>
              <w:t>dawcze podejmowane w celu zdobycia nowej wiedzy zorientowane przede wszystkim na zastosowanie w praktyce;</w:t>
            </w:r>
          </w:p>
          <w:p w:rsidR="00982E61" w:rsidRPr="00982E61" w:rsidRDefault="00982E61" w:rsidP="00A1054C">
            <w:pPr>
              <w:widowControl w:val="0"/>
              <w:numPr>
                <w:ilvl w:val="0"/>
                <w:numId w:val="3"/>
              </w:numPr>
              <w:autoSpaceDE w:val="0"/>
              <w:autoSpaceDN w:val="0"/>
              <w:adjustRightInd w:val="0"/>
              <w:spacing w:before="20" w:line="214" w:lineRule="auto"/>
              <w:ind w:right="11"/>
              <w:jc w:val="both"/>
              <w:rPr>
                <w:rFonts w:ascii="Arial" w:hAnsi="Arial" w:cs="Arial"/>
                <w:color w:val="000000" w:themeColor="text1"/>
                <w:sz w:val="16"/>
                <w:szCs w:val="16"/>
              </w:rPr>
            </w:pPr>
            <w:r w:rsidRPr="00982E61">
              <w:rPr>
                <w:rFonts w:ascii="Arial" w:hAnsi="Arial" w:cs="Arial"/>
                <w:b/>
                <w:bCs/>
                <w:color w:val="000000" w:themeColor="text1"/>
                <w:sz w:val="16"/>
                <w:szCs w:val="16"/>
              </w:rPr>
              <w:t>prace rozwojowe</w:t>
            </w:r>
            <w:r w:rsidRPr="00982E61">
              <w:rPr>
                <w:rFonts w:ascii="Arial" w:hAnsi="Arial" w:cs="Arial"/>
                <w:bCs/>
                <w:color w:val="000000" w:themeColor="text1"/>
                <w:sz w:val="16"/>
                <w:szCs w:val="16"/>
              </w:rPr>
              <w:t>,</w:t>
            </w:r>
            <w:r w:rsidRPr="00982E61">
              <w:rPr>
                <w:rFonts w:ascii="Arial" w:hAnsi="Arial" w:cs="Arial"/>
                <w:b/>
                <w:bCs/>
                <w:color w:val="000000" w:themeColor="text1"/>
                <w:sz w:val="16"/>
                <w:szCs w:val="16"/>
              </w:rPr>
              <w:t xml:space="preserve"> </w:t>
            </w:r>
            <w:r w:rsidRPr="00982E61">
              <w:rPr>
                <w:rFonts w:ascii="Arial" w:hAnsi="Arial" w:cs="Arial"/>
                <w:color w:val="000000" w:themeColor="text1"/>
                <w:spacing w:val="-2"/>
                <w:sz w:val="16"/>
                <w:szCs w:val="16"/>
              </w:rPr>
              <w:t xml:space="preserve">tj. </w:t>
            </w:r>
            <w:r w:rsidRPr="00982E61">
              <w:rPr>
                <w:rFonts w:ascii="Arial" w:hAnsi="Arial" w:cs="Arial"/>
                <w:bCs/>
                <w:color w:val="000000" w:themeColor="text1"/>
                <w:spacing w:val="-2"/>
                <w:sz w:val="16"/>
                <w:szCs w:val="16"/>
              </w:rPr>
              <w:t>nabywanie, łączenie, kształtowanie i wykorzystywanie dostępnej aktualnie wiedzy i umiejętności z dziedziny nauki, technologii i działalności gospodarczej oraz innej wiedzy i umiejętności do planowania produkcji oraz tworzenia i projektowania nowych, zmienionych lub ulepszonych produktów, procesów i</w:t>
            </w:r>
            <w:r w:rsidR="0044181D">
              <w:rPr>
                <w:rFonts w:ascii="Arial" w:hAnsi="Arial" w:cs="Arial"/>
                <w:bCs/>
                <w:color w:val="000000" w:themeColor="text1"/>
                <w:spacing w:val="-2"/>
                <w:sz w:val="16"/>
                <w:szCs w:val="16"/>
              </w:rPr>
              <w:t> </w:t>
            </w:r>
            <w:r w:rsidRPr="00982E61">
              <w:rPr>
                <w:rFonts w:ascii="Arial" w:hAnsi="Arial" w:cs="Arial"/>
                <w:bCs/>
                <w:color w:val="000000" w:themeColor="text1"/>
                <w:spacing w:val="-2"/>
                <w:sz w:val="16"/>
                <w:szCs w:val="16"/>
              </w:rPr>
              <w:t>usług</w:t>
            </w:r>
            <w:r w:rsidRPr="00982E61">
              <w:rPr>
                <w:rFonts w:ascii="Arial" w:hAnsi="Arial" w:cs="Arial"/>
                <w:bCs/>
                <w:color w:val="000000" w:themeColor="text1"/>
                <w:sz w:val="16"/>
                <w:szCs w:val="16"/>
              </w:rPr>
              <w:t>.</w:t>
            </w:r>
          </w:p>
          <w:p w:rsidR="00982E61" w:rsidRPr="00982E61" w:rsidRDefault="00982E61" w:rsidP="00B57B70">
            <w:pPr>
              <w:spacing w:before="20" w:line="214" w:lineRule="auto"/>
              <w:ind w:right="11" w:firstLine="170"/>
              <w:jc w:val="both"/>
              <w:rPr>
                <w:rFonts w:ascii="Arial" w:hAnsi="Arial" w:cs="Arial"/>
                <w:strike/>
                <w:color w:val="000000" w:themeColor="text1"/>
                <w:sz w:val="16"/>
                <w:szCs w:val="16"/>
              </w:rPr>
            </w:pPr>
            <w:r w:rsidRPr="00982E61">
              <w:rPr>
                <w:rFonts w:ascii="Arial" w:hAnsi="Arial" w:cs="Arial"/>
                <w:color w:val="000000" w:themeColor="text1"/>
                <w:sz w:val="16"/>
                <w:szCs w:val="16"/>
              </w:rPr>
              <w:t xml:space="preserve">Dane z zakresu działalności badawczej i rozwojowej (B+R) prezentuje się zgodnie z metodologią stosowaną przez Eurostat w układzie </w:t>
            </w:r>
            <w:r w:rsidRPr="00982E61">
              <w:rPr>
                <w:rFonts w:ascii="Arial" w:hAnsi="Arial" w:cs="Arial"/>
                <w:b/>
                <w:color w:val="000000" w:themeColor="text1"/>
                <w:sz w:val="16"/>
                <w:szCs w:val="16"/>
              </w:rPr>
              <w:t>Polskiej Klasyfikacji Działalności (PKD 2007)</w:t>
            </w:r>
            <w:r w:rsidRPr="00982E61">
              <w:rPr>
                <w:rFonts w:ascii="Arial" w:hAnsi="Arial" w:cs="Arial"/>
                <w:color w:val="000000" w:themeColor="text1"/>
                <w:sz w:val="16"/>
                <w:szCs w:val="16"/>
              </w:rPr>
              <w:t xml:space="preserve"> oraz w układzie </w:t>
            </w:r>
            <w:r w:rsidRPr="00982E61">
              <w:rPr>
                <w:rFonts w:ascii="Arial" w:hAnsi="Arial" w:cs="Arial"/>
                <w:b/>
                <w:color w:val="000000" w:themeColor="text1"/>
                <w:sz w:val="16"/>
                <w:szCs w:val="16"/>
              </w:rPr>
              <w:t>sektorów instytucjonalnych</w:t>
            </w:r>
            <w:r w:rsidRPr="00982E61">
              <w:rPr>
                <w:rFonts w:ascii="Arial" w:hAnsi="Arial" w:cs="Arial"/>
                <w:color w:val="000000" w:themeColor="text1"/>
                <w:sz w:val="16"/>
                <w:szCs w:val="16"/>
              </w:rPr>
              <w:t xml:space="preserve">. </w:t>
            </w:r>
          </w:p>
          <w:p w:rsidR="00982E61" w:rsidRPr="00982E61" w:rsidRDefault="00982E61" w:rsidP="00AD07B9">
            <w:pPr>
              <w:tabs>
                <w:tab w:val="left" w:pos="340"/>
              </w:tabs>
              <w:spacing w:before="20" w:line="214" w:lineRule="auto"/>
              <w:ind w:firstLine="113"/>
              <w:jc w:val="both"/>
              <w:rPr>
                <w:rFonts w:ascii="Arial" w:hAnsi="Arial" w:cs="Arial"/>
                <w:color w:val="000000" w:themeColor="text1"/>
                <w:sz w:val="16"/>
                <w:szCs w:val="16"/>
              </w:rPr>
            </w:pPr>
            <w:r w:rsidRPr="00982E61">
              <w:rPr>
                <w:rFonts w:ascii="Arial" w:hAnsi="Arial" w:cs="Arial"/>
                <w:b/>
                <w:color w:val="000000" w:themeColor="text1"/>
                <w:sz w:val="16"/>
                <w:szCs w:val="16"/>
              </w:rPr>
              <w:t>1. </w:t>
            </w:r>
            <w:r w:rsidRPr="00982E61">
              <w:rPr>
                <w:rFonts w:ascii="Arial" w:hAnsi="Arial" w:cs="Arial"/>
                <w:color w:val="000000" w:themeColor="text1"/>
                <w:sz w:val="16"/>
                <w:szCs w:val="16"/>
              </w:rPr>
              <w:t>Informacje dotyczące działalności badawczej</w:t>
            </w:r>
            <w:r w:rsidR="0044181D">
              <w:rPr>
                <w:rFonts w:ascii="Arial" w:hAnsi="Arial" w:cs="Arial"/>
                <w:color w:val="000000" w:themeColor="text1"/>
                <w:sz w:val="16"/>
                <w:szCs w:val="16"/>
              </w:rPr>
              <w:t> </w:t>
            </w:r>
            <w:r w:rsidR="00CD224E">
              <w:rPr>
                <w:rFonts w:ascii="Arial" w:hAnsi="Arial" w:cs="Arial"/>
                <w:color w:val="000000" w:themeColor="text1"/>
                <w:sz w:val="16"/>
                <w:szCs w:val="16"/>
              </w:rPr>
              <w:t>i </w:t>
            </w:r>
            <w:r w:rsidRPr="00982E61">
              <w:rPr>
                <w:rFonts w:ascii="Arial" w:hAnsi="Arial" w:cs="Arial"/>
                <w:color w:val="000000" w:themeColor="text1"/>
                <w:sz w:val="16"/>
                <w:szCs w:val="16"/>
              </w:rPr>
              <w:t xml:space="preserve">rozwojowej (B+R) obejmują: </w:t>
            </w:r>
          </w:p>
          <w:p w:rsidR="00982E61" w:rsidRPr="00982E61" w:rsidRDefault="00982E61" w:rsidP="00A1054C">
            <w:pPr>
              <w:numPr>
                <w:ilvl w:val="0"/>
                <w:numId w:val="2"/>
              </w:numPr>
              <w:autoSpaceDN w:val="0"/>
              <w:spacing w:before="20" w:line="214" w:lineRule="auto"/>
              <w:ind w:left="227" w:right="11" w:hanging="227"/>
              <w:jc w:val="both"/>
              <w:rPr>
                <w:rFonts w:ascii="Arial" w:hAnsi="Arial" w:cs="Arial"/>
                <w:color w:val="000000" w:themeColor="text1"/>
                <w:sz w:val="16"/>
                <w:szCs w:val="16"/>
              </w:rPr>
            </w:pPr>
            <w:r w:rsidRPr="00982E61">
              <w:rPr>
                <w:rFonts w:ascii="Arial" w:hAnsi="Arial" w:cs="Arial"/>
                <w:b/>
                <w:color w:val="000000" w:themeColor="text1"/>
                <w:sz w:val="16"/>
                <w:szCs w:val="16"/>
              </w:rPr>
              <w:t>podmioty wyspecjalizowane badawczo</w:t>
            </w:r>
            <w:r w:rsidRPr="00982E61">
              <w:rPr>
                <w:rFonts w:ascii="Arial" w:hAnsi="Arial" w:cs="Arial"/>
                <w:color w:val="000000" w:themeColor="text1"/>
                <w:sz w:val="16"/>
                <w:szCs w:val="16"/>
              </w:rPr>
              <w:t>, tj. podmioty, których głównym (statutowym) celem działalności jest prowadzenie badań naukowych i prac rozwojowych bądź ich bezpośrednie wsparcie; są to:</w:t>
            </w:r>
          </w:p>
          <w:p w:rsidR="00982E61" w:rsidRPr="00A27CE0" w:rsidRDefault="00982E61" w:rsidP="00A1054C">
            <w:pPr>
              <w:pStyle w:val="Akapitzlist"/>
              <w:numPr>
                <w:ilvl w:val="0"/>
                <w:numId w:val="9"/>
              </w:numPr>
              <w:spacing w:before="20" w:line="214" w:lineRule="auto"/>
              <w:ind w:left="427" w:right="11" w:hanging="283"/>
              <w:jc w:val="both"/>
              <w:rPr>
                <w:rFonts w:ascii="Arial" w:hAnsi="Arial" w:cs="Arial"/>
                <w:color w:val="000000" w:themeColor="text1"/>
                <w:sz w:val="16"/>
                <w:szCs w:val="16"/>
              </w:rPr>
            </w:pPr>
            <w:r w:rsidRPr="00A27CE0">
              <w:rPr>
                <w:rFonts w:ascii="Arial" w:hAnsi="Arial" w:cs="Arial"/>
                <w:b/>
                <w:color w:val="000000" w:themeColor="text1"/>
                <w:spacing w:val="-2"/>
                <w:sz w:val="16"/>
                <w:szCs w:val="16"/>
              </w:rPr>
              <w:t>instytuty naukowe Polskiej Akademii Nauk</w:t>
            </w:r>
            <w:r w:rsidRPr="00A27CE0">
              <w:rPr>
                <w:rFonts w:ascii="Arial" w:hAnsi="Arial" w:cs="Arial"/>
                <w:color w:val="000000" w:themeColor="text1"/>
                <w:spacing w:val="-2"/>
                <w:sz w:val="16"/>
                <w:szCs w:val="16"/>
              </w:rPr>
              <w:t>,</w:t>
            </w:r>
            <w:r w:rsidRPr="00A27CE0">
              <w:rPr>
                <w:rFonts w:ascii="Arial" w:hAnsi="Arial" w:cs="Arial"/>
                <w:color w:val="000000" w:themeColor="text1"/>
                <w:sz w:val="16"/>
                <w:szCs w:val="16"/>
              </w:rPr>
              <w:t xml:space="preserve"> działające na podstawie ustawy z</w:t>
            </w:r>
            <w:r w:rsidR="00A27CE0">
              <w:rPr>
                <w:rFonts w:ascii="Arial" w:hAnsi="Arial" w:cs="Arial"/>
                <w:color w:val="000000" w:themeColor="text1"/>
                <w:sz w:val="16"/>
                <w:szCs w:val="16"/>
              </w:rPr>
              <w:t> </w:t>
            </w:r>
            <w:r w:rsidRPr="00A27CE0">
              <w:rPr>
                <w:rFonts w:ascii="Arial" w:hAnsi="Arial" w:cs="Arial"/>
                <w:color w:val="000000" w:themeColor="text1"/>
                <w:sz w:val="16"/>
                <w:szCs w:val="16"/>
              </w:rPr>
              <w:t>dnia 30 kwietnia 2010 r. o Polskiej Aka</w:t>
            </w:r>
            <w:r w:rsidR="00D63E53" w:rsidRPr="00A27CE0">
              <w:rPr>
                <w:rFonts w:ascii="Arial" w:hAnsi="Arial" w:cs="Arial"/>
                <w:color w:val="000000" w:themeColor="text1"/>
                <w:sz w:val="16"/>
                <w:szCs w:val="16"/>
              </w:rPr>
              <w:t>demii Nauk (tekst jednolity Dz. U. </w:t>
            </w:r>
            <w:r w:rsidRPr="00A27CE0">
              <w:rPr>
                <w:rFonts w:ascii="Arial" w:hAnsi="Arial" w:cs="Arial"/>
                <w:color w:val="000000" w:themeColor="text1"/>
                <w:sz w:val="16"/>
                <w:szCs w:val="16"/>
              </w:rPr>
              <w:t>2019</w:t>
            </w:r>
            <w:r w:rsidR="00A27CE0">
              <w:rPr>
                <w:rFonts w:ascii="Arial" w:hAnsi="Arial" w:cs="Arial"/>
                <w:color w:val="000000" w:themeColor="text1"/>
                <w:sz w:val="16"/>
                <w:szCs w:val="16"/>
              </w:rPr>
              <w:t xml:space="preserve"> </w:t>
            </w:r>
            <w:r w:rsidRPr="00A27CE0">
              <w:rPr>
                <w:rFonts w:ascii="Arial" w:hAnsi="Arial" w:cs="Arial"/>
                <w:color w:val="000000" w:themeColor="text1"/>
                <w:sz w:val="16"/>
                <w:szCs w:val="16"/>
              </w:rPr>
              <w:t>poz. 1183),</w:t>
            </w:r>
          </w:p>
          <w:p w:rsidR="00982E61" w:rsidRPr="00A27CE0" w:rsidRDefault="00982E61" w:rsidP="00A1054C">
            <w:pPr>
              <w:pStyle w:val="Akapitzlist"/>
              <w:widowControl w:val="0"/>
              <w:numPr>
                <w:ilvl w:val="0"/>
                <w:numId w:val="9"/>
              </w:numPr>
              <w:autoSpaceDE w:val="0"/>
              <w:autoSpaceDN w:val="0"/>
              <w:adjustRightInd w:val="0"/>
              <w:spacing w:line="188" w:lineRule="exact"/>
              <w:ind w:left="427" w:right="11" w:hanging="283"/>
              <w:jc w:val="both"/>
              <w:rPr>
                <w:rFonts w:ascii="Arial" w:hAnsi="Arial" w:cs="Arial"/>
                <w:spacing w:val="-2"/>
                <w:sz w:val="16"/>
                <w:szCs w:val="16"/>
              </w:rPr>
            </w:pPr>
            <w:r w:rsidRPr="00A27CE0">
              <w:rPr>
                <w:rFonts w:ascii="Arial" w:hAnsi="Arial" w:cs="Arial"/>
                <w:b/>
                <w:color w:val="000000" w:themeColor="text1"/>
                <w:sz w:val="16"/>
                <w:szCs w:val="16"/>
              </w:rPr>
              <w:t>instytuty badawcze</w:t>
            </w:r>
            <w:r w:rsidRPr="00A27CE0">
              <w:rPr>
                <w:rFonts w:ascii="Arial" w:hAnsi="Arial" w:cs="Arial"/>
                <w:color w:val="000000" w:themeColor="text1"/>
                <w:sz w:val="16"/>
                <w:szCs w:val="16"/>
              </w:rPr>
              <w:t>, działające na podstawie ustawy z dnia 30 kwietnia 2010 r. o</w:t>
            </w:r>
            <w:r w:rsidR="00A27CE0">
              <w:rPr>
                <w:rFonts w:ascii="Arial" w:hAnsi="Arial" w:cs="Arial"/>
                <w:color w:val="000000" w:themeColor="text1"/>
                <w:sz w:val="16"/>
                <w:szCs w:val="16"/>
              </w:rPr>
              <w:t> </w:t>
            </w:r>
            <w:r w:rsidRPr="00A27CE0">
              <w:rPr>
                <w:rFonts w:ascii="Arial" w:hAnsi="Arial" w:cs="Arial"/>
                <w:color w:val="000000" w:themeColor="text1"/>
                <w:sz w:val="16"/>
                <w:szCs w:val="16"/>
              </w:rPr>
              <w:t>instytutach badawczych (tekst jednolity Dz. U. 2019 poz. 1350),</w:t>
            </w:r>
          </w:p>
          <w:p w:rsidR="00982E61" w:rsidRPr="00A27CE0" w:rsidRDefault="00982E61" w:rsidP="00A1054C">
            <w:pPr>
              <w:pStyle w:val="Akapitzlist"/>
              <w:numPr>
                <w:ilvl w:val="0"/>
                <w:numId w:val="9"/>
              </w:numPr>
              <w:spacing w:before="50" w:line="214" w:lineRule="auto"/>
              <w:ind w:left="427" w:right="11" w:hanging="283"/>
              <w:jc w:val="both"/>
              <w:rPr>
                <w:rFonts w:ascii="Arial" w:hAnsi="Arial" w:cs="Arial"/>
                <w:color w:val="000000" w:themeColor="text1"/>
                <w:sz w:val="16"/>
                <w:szCs w:val="16"/>
              </w:rPr>
            </w:pPr>
            <w:r w:rsidRPr="00A27CE0">
              <w:rPr>
                <w:rFonts w:ascii="Arial" w:hAnsi="Arial" w:cs="Arial"/>
                <w:b/>
                <w:color w:val="000000" w:themeColor="text1"/>
                <w:sz w:val="16"/>
                <w:szCs w:val="16"/>
              </w:rPr>
              <w:t>uczelnie</w:t>
            </w:r>
            <w:r w:rsidRPr="00A27CE0">
              <w:rPr>
                <w:rFonts w:ascii="Arial" w:hAnsi="Arial" w:cs="Arial"/>
                <w:color w:val="000000" w:themeColor="text1"/>
                <w:sz w:val="16"/>
                <w:szCs w:val="16"/>
              </w:rPr>
              <w:t>, działające zgodnie z ustawą z</w:t>
            </w:r>
            <w:r w:rsidR="00A27CE0">
              <w:rPr>
                <w:rFonts w:ascii="Arial" w:hAnsi="Arial" w:cs="Arial"/>
                <w:color w:val="000000" w:themeColor="text1"/>
                <w:sz w:val="16"/>
                <w:szCs w:val="16"/>
              </w:rPr>
              <w:t> </w:t>
            </w:r>
            <w:r w:rsidRPr="00A27CE0">
              <w:rPr>
                <w:rFonts w:ascii="Arial" w:hAnsi="Arial" w:cs="Arial"/>
                <w:color w:val="000000" w:themeColor="text1"/>
                <w:sz w:val="16"/>
                <w:szCs w:val="16"/>
              </w:rPr>
              <w:t>dnia 20 lipca 2018 r. Prawo o szkolnictwie wyższym i nauce (Dz.</w:t>
            </w:r>
            <w:r w:rsidR="00A27CE0">
              <w:rPr>
                <w:rFonts w:ascii="Arial" w:hAnsi="Arial" w:cs="Arial"/>
                <w:color w:val="000000" w:themeColor="text1"/>
                <w:sz w:val="16"/>
                <w:szCs w:val="16"/>
              </w:rPr>
              <w:t xml:space="preserve"> </w:t>
            </w:r>
            <w:r w:rsidRPr="00A27CE0">
              <w:rPr>
                <w:rFonts w:ascii="Arial" w:hAnsi="Arial" w:cs="Arial"/>
                <w:color w:val="000000" w:themeColor="text1"/>
                <w:sz w:val="16"/>
                <w:szCs w:val="16"/>
              </w:rPr>
              <w:t xml:space="preserve">U. 2018 poz. 1668 </w:t>
            </w:r>
            <w:r w:rsidRPr="00A27CE0">
              <w:rPr>
                <w:rFonts w:ascii="Arial" w:hAnsi="Arial" w:cs="Arial"/>
                <w:color w:val="000000" w:themeColor="text1"/>
                <w:sz w:val="16"/>
                <w:szCs w:val="16"/>
              </w:rPr>
              <w:lastRenderedPageBreak/>
              <w:t>z</w:t>
            </w:r>
            <w:r w:rsidR="0044181D">
              <w:rPr>
                <w:rFonts w:ascii="Arial" w:hAnsi="Arial" w:cs="Arial"/>
                <w:color w:val="000000" w:themeColor="text1"/>
                <w:sz w:val="16"/>
                <w:szCs w:val="16"/>
              </w:rPr>
              <w:t> </w:t>
            </w:r>
            <w:r w:rsidRPr="00A27CE0">
              <w:rPr>
                <w:rFonts w:ascii="Arial" w:hAnsi="Arial" w:cs="Arial"/>
                <w:color w:val="000000" w:themeColor="text1"/>
                <w:sz w:val="16"/>
                <w:szCs w:val="16"/>
              </w:rPr>
              <w:t>późniejszymi zmianami); w prezentowanych statystykach B+R termin „uczelnie” obejmuje wszystkie uniwersytety, uczelnie techniczne itp., ale nie obejmuje innych instytucji szkolnictwa wyższego, uniwersyteckich instytutów lub ośrodków badawczych, szpitali i klinik uniwersyteckich oraz organizacji badawczych, których działalność B+R jest kontrolowana przez sektor szkolnictwa wyższego;</w:t>
            </w:r>
          </w:p>
          <w:p w:rsidR="00982E61" w:rsidRPr="00A27CE0" w:rsidRDefault="00982E61" w:rsidP="00AD07B9">
            <w:pPr>
              <w:pStyle w:val="Akapitzlist"/>
              <w:numPr>
                <w:ilvl w:val="0"/>
                <w:numId w:val="9"/>
              </w:numPr>
              <w:autoSpaceDN w:val="0"/>
              <w:spacing w:after="0" w:line="180" w:lineRule="exact"/>
              <w:ind w:left="426" w:right="11" w:hanging="284"/>
              <w:contextualSpacing w:val="0"/>
              <w:jc w:val="both"/>
              <w:rPr>
                <w:rFonts w:ascii="Arial" w:hAnsi="Arial" w:cs="Arial"/>
                <w:color w:val="000000" w:themeColor="text1"/>
                <w:sz w:val="16"/>
                <w:szCs w:val="16"/>
              </w:rPr>
            </w:pPr>
            <w:r w:rsidRPr="00A27CE0">
              <w:rPr>
                <w:rFonts w:ascii="Arial" w:hAnsi="Arial" w:cs="Arial"/>
                <w:b/>
                <w:bCs/>
                <w:color w:val="000000" w:themeColor="text1"/>
                <w:sz w:val="16"/>
                <w:szCs w:val="16"/>
              </w:rPr>
              <w:t>pozostałe</w:t>
            </w:r>
            <w:r w:rsidRPr="00A27CE0">
              <w:rPr>
                <w:rFonts w:ascii="Arial" w:hAnsi="Arial" w:cs="Arial"/>
                <w:bCs/>
                <w:color w:val="000000" w:themeColor="text1"/>
                <w:sz w:val="16"/>
                <w:szCs w:val="16"/>
              </w:rPr>
              <w:t xml:space="preserve">, tj. </w:t>
            </w:r>
            <w:r w:rsidRPr="00A27CE0">
              <w:rPr>
                <w:rFonts w:ascii="Arial" w:hAnsi="Arial" w:cs="Arial"/>
                <w:color w:val="000000" w:themeColor="text1"/>
                <w:sz w:val="16"/>
                <w:szCs w:val="16"/>
              </w:rPr>
              <w:t>pozostałe podmioty zaklasyfikowane według PKD 2007 do działu 72 „Badania naukowe i prace rozwojowe” oraz inne powiązane z nimi instytucjonalnie jednostki pomocnicze lub nadzorujące, zaklasyfikowane bądź niezaklasyfikowane do działu 72 „Badania naukowe i prace rozwojowe”;</w:t>
            </w:r>
          </w:p>
          <w:p w:rsidR="00982E61" w:rsidRPr="00982E61" w:rsidRDefault="00982E61" w:rsidP="00AD07B9">
            <w:pPr>
              <w:numPr>
                <w:ilvl w:val="0"/>
                <w:numId w:val="2"/>
              </w:numPr>
              <w:autoSpaceDN w:val="0"/>
              <w:spacing w:before="20" w:line="180" w:lineRule="exact"/>
              <w:ind w:left="227" w:right="11" w:hanging="227"/>
              <w:contextualSpacing/>
              <w:jc w:val="both"/>
              <w:rPr>
                <w:rFonts w:ascii="Arial" w:hAnsi="Arial" w:cs="Arial"/>
                <w:color w:val="000000" w:themeColor="text1"/>
                <w:sz w:val="16"/>
                <w:szCs w:val="16"/>
              </w:rPr>
            </w:pPr>
            <w:r w:rsidRPr="00982E61">
              <w:rPr>
                <w:rFonts w:ascii="Arial" w:hAnsi="Arial" w:cs="Arial"/>
                <w:b/>
                <w:bCs/>
                <w:color w:val="000000" w:themeColor="text1"/>
                <w:sz w:val="16"/>
                <w:szCs w:val="16"/>
              </w:rPr>
              <w:t xml:space="preserve">podmioty gospodarcze </w:t>
            </w:r>
            <w:r w:rsidRPr="00982E61">
              <w:rPr>
                <w:rFonts w:ascii="Arial" w:hAnsi="Arial" w:cs="Arial"/>
                <w:bCs/>
                <w:color w:val="000000" w:themeColor="text1"/>
                <w:sz w:val="16"/>
                <w:szCs w:val="16"/>
              </w:rPr>
              <w:t>(niezaklasyfikowane według PKD 2007 do działu 72 „Badania naukowe i prace rozwojowe”)</w:t>
            </w:r>
            <w:r w:rsidRPr="00982E61">
              <w:rPr>
                <w:rFonts w:ascii="Arial" w:hAnsi="Arial" w:cs="Arial"/>
                <w:sz w:val="16"/>
                <w:szCs w:val="16"/>
              </w:rPr>
              <w:t>,</w:t>
            </w:r>
            <w:r w:rsidRPr="00982E61">
              <w:rPr>
                <w:rFonts w:ascii="Arial" w:hAnsi="Arial" w:cs="Arial"/>
                <w:bCs/>
                <w:color w:val="000000" w:themeColor="text1"/>
                <w:sz w:val="16"/>
                <w:szCs w:val="16"/>
              </w:rPr>
              <w:t xml:space="preserve"> które obok swojej podstawowej działalności prowadzą lub finansują prace badawczo-rozwojowe.</w:t>
            </w:r>
          </w:p>
          <w:p w:rsidR="00982E61" w:rsidRPr="00982E61" w:rsidRDefault="00982E61" w:rsidP="00AD07B9">
            <w:pPr>
              <w:tabs>
                <w:tab w:val="left" w:pos="340"/>
              </w:tabs>
              <w:spacing w:before="30" w:line="180" w:lineRule="exact"/>
              <w:ind w:firstLine="113"/>
              <w:contextualSpacing/>
              <w:jc w:val="both"/>
              <w:rPr>
                <w:rFonts w:ascii="Arial" w:hAnsi="Arial" w:cs="Arial"/>
                <w:color w:val="000000" w:themeColor="text1"/>
                <w:spacing w:val="-2"/>
                <w:sz w:val="16"/>
                <w:szCs w:val="16"/>
              </w:rPr>
            </w:pPr>
            <w:r w:rsidRPr="00982E61">
              <w:rPr>
                <w:rFonts w:ascii="Arial" w:hAnsi="Arial" w:cs="Arial"/>
                <w:b/>
                <w:bCs/>
                <w:color w:val="000000" w:themeColor="text1"/>
                <w:sz w:val="16"/>
                <w:szCs w:val="16"/>
              </w:rPr>
              <w:t>2.</w:t>
            </w:r>
            <w:r w:rsidRPr="00982E61">
              <w:rPr>
                <w:rFonts w:ascii="Arial" w:hAnsi="Arial" w:cs="Arial"/>
                <w:sz w:val="16"/>
                <w:szCs w:val="16"/>
              </w:rPr>
              <w:t> </w:t>
            </w:r>
            <w:r w:rsidRPr="00982E61">
              <w:rPr>
                <w:rFonts w:ascii="Arial" w:hAnsi="Arial" w:cs="Arial"/>
                <w:color w:val="000000" w:themeColor="text1"/>
                <w:spacing w:val="-2"/>
                <w:sz w:val="16"/>
                <w:szCs w:val="16"/>
              </w:rPr>
              <w:t xml:space="preserve">Do </w:t>
            </w:r>
            <w:r w:rsidRPr="00982E61">
              <w:rPr>
                <w:rFonts w:ascii="Arial" w:hAnsi="Arial" w:cs="Arial"/>
                <w:b/>
                <w:bCs/>
                <w:color w:val="000000" w:themeColor="text1"/>
                <w:spacing w:val="-2"/>
                <w:sz w:val="16"/>
                <w:szCs w:val="16"/>
              </w:rPr>
              <w:t xml:space="preserve">pracujących </w:t>
            </w:r>
            <w:r w:rsidRPr="00982E61">
              <w:rPr>
                <w:rFonts w:ascii="Arial" w:hAnsi="Arial" w:cs="Arial"/>
                <w:color w:val="000000" w:themeColor="text1"/>
                <w:spacing w:val="-2"/>
                <w:sz w:val="16"/>
                <w:szCs w:val="16"/>
              </w:rPr>
              <w:t>w działalności B+R zaliczono:</w:t>
            </w:r>
          </w:p>
          <w:p w:rsidR="00982E61" w:rsidRPr="00982E61" w:rsidRDefault="00982E61" w:rsidP="00AD07B9">
            <w:pPr>
              <w:widowControl w:val="0"/>
              <w:numPr>
                <w:ilvl w:val="1"/>
                <w:numId w:val="1"/>
              </w:numPr>
              <w:autoSpaceDE w:val="0"/>
              <w:autoSpaceDN w:val="0"/>
              <w:adjustRightInd w:val="0"/>
              <w:spacing w:before="20" w:line="180" w:lineRule="exact"/>
              <w:ind w:right="11"/>
              <w:contextualSpacing/>
              <w:jc w:val="both"/>
              <w:rPr>
                <w:rFonts w:ascii="Arial" w:hAnsi="Arial" w:cs="Arial"/>
                <w:color w:val="000000" w:themeColor="text1"/>
                <w:sz w:val="16"/>
                <w:szCs w:val="16"/>
              </w:rPr>
            </w:pPr>
            <w:r w:rsidRPr="00982E61">
              <w:rPr>
                <w:rFonts w:ascii="Arial" w:hAnsi="Arial" w:cs="Arial"/>
                <w:b/>
                <w:bCs/>
                <w:color w:val="000000" w:themeColor="text1"/>
                <w:sz w:val="16"/>
                <w:szCs w:val="16"/>
              </w:rPr>
              <w:t>badaczy</w:t>
            </w:r>
            <w:r w:rsidRPr="00982E61">
              <w:rPr>
                <w:rFonts w:ascii="Arial" w:hAnsi="Arial" w:cs="Arial"/>
                <w:bCs/>
                <w:color w:val="000000" w:themeColor="text1"/>
                <w:sz w:val="16"/>
                <w:szCs w:val="16"/>
              </w:rPr>
              <w:t>, tj. osoby prowadzące badania naukowe oraz ulepszające lub rozwijające koncepcje, teorie, modele, techniki, oprzyrządowanie, oprogramowanie lub metody operacyjne;</w:t>
            </w:r>
          </w:p>
          <w:p w:rsidR="00982E61" w:rsidRPr="00982E61" w:rsidRDefault="00982E61" w:rsidP="00AD07B9">
            <w:pPr>
              <w:widowControl w:val="0"/>
              <w:numPr>
                <w:ilvl w:val="1"/>
                <w:numId w:val="1"/>
              </w:numPr>
              <w:autoSpaceDE w:val="0"/>
              <w:autoSpaceDN w:val="0"/>
              <w:adjustRightInd w:val="0"/>
              <w:spacing w:before="20" w:line="180" w:lineRule="exact"/>
              <w:ind w:right="11"/>
              <w:contextualSpacing/>
              <w:jc w:val="both"/>
              <w:rPr>
                <w:rFonts w:ascii="Arial" w:hAnsi="Arial" w:cs="Arial"/>
                <w:color w:val="000000" w:themeColor="text1"/>
                <w:sz w:val="16"/>
                <w:szCs w:val="16"/>
              </w:rPr>
            </w:pPr>
            <w:r w:rsidRPr="00982E61">
              <w:rPr>
                <w:rFonts w:ascii="Arial" w:hAnsi="Arial" w:cs="Arial"/>
                <w:b/>
                <w:color w:val="000000" w:themeColor="text1"/>
                <w:sz w:val="16"/>
                <w:szCs w:val="16"/>
              </w:rPr>
              <w:t>techników i pracowników równorzędnych</w:t>
            </w:r>
            <w:r w:rsidRPr="00982E61">
              <w:rPr>
                <w:rFonts w:ascii="Arial" w:hAnsi="Arial" w:cs="Arial"/>
                <w:color w:val="000000" w:themeColor="text1"/>
                <w:sz w:val="16"/>
                <w:szCs w:val="16"/>
              </w:rPr>
              <w:t>, tj. pracowników, którzy uczestniczą w działalności B+R wykonując zadania naukowe i techniczne związane z zastosowaniem pojęć i metod operacyjnych oraz wykorzystaniem sprzętu badawczego, zazwyczaj pod kierunkiem badaczy;</w:t>
            </w:r>
          </w:p>
          <w:p w:rsidR="00982E61" w:rsidRPr="00982E61" w:rsidRDefault="00982E61" w:rsidP="00AD07B9">
            <w:pPr>
              <w:widowControl w:val="0"/>
              <w:numPr>
                <w:ilvl w:val="1"/>
                <w:numId w:val="1"/>
              </w:numPr>
              <w:autoSpaceDE w:val="0"/>
              <w:autoSpaceDN w:val="0"/>
              <w:adjustRightInd w:val="0"/>
              <w:spacing w:before="20" w:line="180" w:lineRule="exact"/>
              <w:ind w:right="11"/>
              <w:contextualSpacing/>
              <w:jc w:val="both"/>
              <w:rPr>
                <w:rFonts w:ascii="Arial" w:hAnsi="Arial" w:cs="Arial"/>
                <w:color w:val="000000" w:themeColor="text1"/>
                <w:sz w:val="16"/>
                <w:szCs w:val="16"/>
              </w:rPr>
            </w:pPr>
            <w:r w:rsidRPr="00982E61">
              <w:rPr>
                <w:rFonts w:ascii="Arial" w:hAnsi="Arial" w:cs="Arial"/>
                <w:b/>
                <w:color w:val="000000" w:themeColor="text1"/>
                <w:sz w:val="16"/>
                <w:szCs w:val="16"/>
              </w:rPr>
              <w:t>pozostały personel pomocniczy</w:t>
            </w:r>
            <w:r w:rsidRPr="00982E61">
              <w:rPr>
                <w:rFonts w:ascii="Arial" w:hAnsi="Arial" w:cs="Arial"/>
                <w:color w:val="000000" w:themeColor="text1"/>
                <w:sz w:val="16"/>
                <w:szCs w:val="16"/>
              </w:rPr>
              <w:t xml:space="preserve">, do którego należą wykwalifikowani i niewykwalifikowani pracownicy na stanowiskach robotniczych oraz pracownicy administracji, sekretariatów i biur, zaangażowani w projekty B+R lub bezpośrednio związani z takimi projektami. </w:t>
            </w:r>
          </w:p>
          <w:p w:rsidR="00982E61" w:rsidRPr="00982E61" w:rsidRDefault="00982E61" w:rsidP="00AD07B9">
            <w:pPr>
              <w:tabs>
                <w:tab w:val="left" w:pos="340"/>
              </w:tabs>
              <w:spacing w:before="20" w:line="180" w:lineRule="exact"/>
              <w:ind w:firstLine="113"/>
              <w:contextualSpacing/>
              <w:jc w:val="both"/>
              <w:rPr>
                <w:rFonts w:ascii="Arial" w:hAnsi="Arial" w:cs="Arial"/>
                <w:strike/>
                <w:color w:val="000000" w:themeColor="text1"/>
                <w:sz w:val="16"/>
                <w:szCs w:val="16"/>
              </w:rPr>
            </w:pPr>
            <w:r w:rsidRPr="00982E61">
              <w:rPr>
                <w:rFonts w:ascii="Arial" w:hAnsi="Arial" w:cs="Arial"/>
                <w:b/>
                <w:color w:val="000000" w:themeColor="text1"/>
                <w:sz w:val="16"/>
                <w:szCs w:val="16"/>
              </w:rPr>
              <w:t>3.</w:t>
            </w:r>
            <w:r w:rsidRPr="00982E61">
              <w:rPr>
                <w:rFonts w:ascii="Arial" w:hAnsi="Arial" w:cs="Arial"/>
                <w:color w:val="000000" w:themeColor="text1"/>
                <w:sz w:val="16"/>
                <w:szCs w:val="16"/>
              </w:rPr>
              <w:t xml:space="preserve"> Dane o </w:t>
            </w:r>
            <w:r w:rsidRPr="00982E61">
              <w:rPr>
                <w:rFonts w:ascii="Arial" w:hAnsi="Arial" w:cs="Arial"/>
                <w:b/>
                <w:color w:val="000000" w:themeColor="text1"/>
                <w:sz w:val="16"/>
                <w:szCs w:val="16"/>
              </w:rPr>
              <w:t>personelu B+R</w:t>
            </w:r>
            <w:r w:rsidRPr="00982E61">
              <w:rPr>
                <w:rFonts w:ascii="Arial" w:hAnsi="Arial" w:cs="Arial"/>
                <w:color w:val="000000" w:themeColor="text1"/>
                <w:sz w:val="16"/>
                <w:szCs w:val="16"/>
              </w:rPr>
              <w:t xml:space="preserve"> dotyczą osób bezpośrednio zaangażowanych w prace B+R.</w:t>
            </w:r>
          </w:p>
          <w:p w:rsidR="00982E61" w:rsidRPr="00982E61" w:rsidRDefault="00982E61" w:rsidP="00AD07B9">
            <w:pPr>
              <w:spacing w:before="20" w:line="180" w:lineRule="exact"/>
              <w:ind w:right="11" w:firstLine="170"/>
              <w:contextualSpacing/>
              <w:jc w:val="both"/>
              <w:rPr>
                <w:rFonts w:ascii="Arial" w:hAnsi="Arial" w:cs="Arial"/>
                <w:b/>
                <w:color w:val="000000" w:themeColor="text1"/>
                <w:sz w:val="16"/>
                <w:szCs w:val="16"/>
              </w:rPr>
            </w:pPr>
            <w:r w:rsidRPr="00982E61">
              <w:rPr>
                <w:rFonts w:ascii="Arial" w:hAnsi="Arial" w:cs="Arial"/>
                <w:color w:val="000000" w:themeColor="text1"/>
                <w:sz w:val="16"/>
                <w:szCs w:val="16"/>
              </w:rPr>
              <w:t xml:space="preserve">Dane o </w:t>
            </w:r>
            <w:r w:rsidRPr="00982E61">
              <w:rPr>
                <w:rFonts w:ascii="Arial" w:hAnsi="Arial" w:cs="Arial"/>
                <w:b/>
                <w:color w:val="000000" w:themeColor="text1"/>
                <w:sz w:val="16"/>
                <w:szCs w:val="16"/>
              </w:rPr>
              <w:t xml:space="preserve">pracujących </w:t>
            </w:r>
            <w:r w:rsidRPr="00982E61">
              <w:rPr>
                <w:rFonts w:ascii="Arial" w:hAnsi="Arial" w:cs="Arial"/>
                <w:color w:val="000000" w:themeColor="text1"/>
                <w:sz w:val="16"/>
                <w:szCs w:val="16"/>
              </w:rPr>
              <w:t>—</w:t>
            </w:r>
            <w:r w:rsidRPr="00982E61">
              <w:rPr>
                <w:rFonts w:ascii="Arial" w:hAnsi="Arial" w:cs="Arial"/>
                <w:b/>
                <w:color w:val="000000" w:themeColor="text1"/>
                <w:sz w:val="16"/>
                <w:szCs w:val="16"/>
              </w:rPr>
              <w:t xml:space="preserve"> personelu wewnętrznym </w:t>
            </w:r>
            <w:r w:rsidRPr="00D63E53">
              <w:rPr>
                <w:rFonts w:ascii="Arial" w:hAnsi="Arial" w:cs="Arial"/>
                <w:color w:val="000000" w:themeColor="text1"/>
                <w:sz w:val="16"/>
                <w:szCs w:val="16"/>
              </w:rPr>
              <w:t>—</w:t>
            </w:r>
            <w:r w:rsidRPr="00982E61">
              <w:rPr>
                <w:rFonts w:ascii="Arial" w:hAnsi="Arial" w:cs="Arial"/>
                <w:i/>
                <w:color w:val="000000" w:themeColor="text1"/>
                <w:sz w:val="16"/>
                <w:szCs w:val="16"/>
              </w:rPr>
              <w:t xml:space="preserve"> </w:t>
            </w:r>
            <w:r w:rsidRPr="00982E61">
              <w:rPr>
                <w:rFonts w:ascii="Arial" w:hAnsi="Arial" w:cs="Arial"/>
                <w:color w:val="000000" w:themeColor="text1"/>
                <w:sz w:val="16"/>
                <w:szCs w:val="16"/>
              </w:rPr>
              <w:t>obejmują zatrudnionych w danej jednostce na podstawie stosunku pracy lub stosunku służbowego (tj. umowy o pracę, powołania, wyboru lub mianowania) oraz pracodawców i pracujących na własny rachunek, agentów pracujących na podstawie umów agencyjnych, osoby wykonujące pracę nakładczą i członków spółdzielni produkcji rolniczej. Dane te prezentowane są w dwóch ujęciach, tj. w osobach (tabl. 2) oraz w ekwiwalentach pełnego czasu pracy (tabl. 1).</w:t>
            </w:r>
          </w:p>
          <w:p w:rsidR="00982E61" w:rsidRPr="00982E61" w:rsidRDefault="00982E61" w:rsidP="00AD07B9">
            <w:pPr>
              <w:pStyle w:val="Akapitzlist"/>
              <w:spacing w:before="20" w:after="0" w:line="180" w:lineRule="exact"/>
              <w:ind w:left="0" w:right="11" w:firstLine="170"/>
              <w:jc w:val="both"/>
              <w:rPr>
                <w:rFonts w:ascii="Arial" w:eastAsia="Times New Roman" w:hAnsi="Arial" w:cs="Arial"/>
                <w:color w:val="000000" w:themeColor="text1"/>
                <w:sz w:val="16"/>
                <w:szCs w:val="16"/>
                <w:lang w:eastAsia="pl-PL"/>
              </w:rPr>
            </w:pPr>
            <w:r w:rsidRPr="00982E61">
              <w:rPr>
                <w:rFonts w:ascii="Arial" w:eastAsia="Times New Roman" w:hAnsi="Arial" w:cs="Arial"/>
                <w:b/>
                <w:color w:val="000000" w:themeColor="text1"/>
                <w:sz w:val="16"/>
                <w:szCs w:val="16"/>
                <w:lang w:eastAsia="pl-PL"/>
              </w:rPr>
              <w:t>Ekwiwalenty pełnego czasu pracy (EPC)</w:t>
            </w:r>
            <w:r w:rsidRPr="00982E61">
              <w:rPr>
                <w:rFonts w:ascii="Arial" w:eastAsia="Times New Roman" w:hAnsi="Arial" w:cs="Arial"/>
                <w:color w:val="000000" w:themeColor="text1"/>
                <w:sz w:val="16"/>
                <w:szCs w:val="16"/>
                <w:lang w:eastAsia="pl-PL"/>
              </w:rPr>
              <w:t xml:space="preserve"> są to jednostki przeliczeniowe służące do ustalenia liczby osób faktycznie zaangażowanych w działalność B+R. Jeden EPC oznacza jeden osoborok poświęcony wyłącznie na działalność B+R.</w:t>
            </w:r>
          </w:p>
          <w:p w:rsidR="00982E61" w:rsidRPr="00982E61" w:rsidRDefault="00982E61" w:rsidP="00AD07B9">
            <w:pPr>
              <w:pStyle w:val="Akapitzlist"/>
              <w:spacing w:before="20" w:after="0" w:line="180" w:lineRule="exact"/>
              <w:ind w:left="0" w:right="11" w:firstLine="170"/>
              <w:jc w:val="both"/>
              <w:rPr>
                <w:rFonts w:ascii="Arial" w:eastAsia="Times New Roman" w:hAnsi="Arial" w:cs="Arial"/>
                <w:color w:val="000000" w:themeColor="text1"/>
                <w:sz w:val="16"/>
                <w:szCs w:val="16"/>
                <w:lang w:eastAsia="pl-PL"/>
              </w:rPr>
            </w:pPr>
            <w:r w:rsidRPr="00982E61">
              <w:rPr>
                <w:rFonts w:ascii="Arial" w:hAnsi="Arial" w:cs="Arial"/>
                <w:color w:val="000000" w:themeColor="text1"/>
                <w:sz w:val="16"/>
                <w:szCs w:val="16"/>
              </w:rPr>
              <w:t xml:space="preserve">Osoby niezaliczone do pracujących w danej jednostce, a zaangażowane w jej projekty B+R zaliczane są do </w:t>
            </w:r>
            <w:r w:rsidRPr="00982E61">
              <w:rPr>
                <w:rFonts w:ascii="Arial" w:hAnsi="Arial" w:cs="Arial"/>
                <w:b/>
                <w:color w:val="000000" w:themeColor="text1"/>
                <w:sz w:val="16"/>
                <w:szCs w:val="16"/>
              </w:rPr>
              <w:t>personelu zewnętrznego</w:t>
            </w:r>
            <w:r w:rsidRPr="00982E61">
              <w:rPr>
                <w:rFonts w:ascii="Arial" w:hAnsi="Arial" w:cs="Arial"/>
                <w:color w:val="000000" w:themeColor="text1"/>
                <w:sz w:val="16"/>
                <w:szCs w:val="16"/>
              </w:rPr>
              <w:t>.</w:t>
            </w:r>
          </w:p>
          <w:p w:rsidR="00982E61" w:rsidRPr="00982E61" w:rsidRDefault="00982E61" w:rsidP="00AD07B9">
            <w:pPr>
              <w:spacing w:before="20" w:line="180" w:lineRule="exact"/>
              <w:ind w:right="11" w:firstLine="113"/>
              <w:contextualSpacing/>
              <w:jc w:val="both"/>
              <w:rPr>
                <w:rFonts w:ascii="Arial" w:hAnsi="Arial" w:cs="Arial"/>
                <w:b/>
                <w:bCs/>
                <w:color w:val="000000" w:themeColor="text1"/>
                <w:sz w:val="16"/>
                <w:szCs w:val="16"/>
              </w:rPr>
            </w:pPr>
            <w:r w:rsidRPr="00982E61">
              <w:rPr>
                <w:rFonts w:ascii="Arial" w:hAnsi="Arial" w:cs="Arial"/>
                <w:b/>
                <w:bCs/>
                <w:color w:val="000000" w:themeColor="text1"/>
                <w:sz w:val="16"/>
                <w:szCs w:val="16"/>
              </w:rPr>
              <w:t>4. </w:t>
            </w:r>
            <w:r w:rsidR="00D3323D" w:rsidRPr="003C19E7">
              <w:rPr>
                <w:rFonts w:ascii="Arial" w:hAnsi="Arial" w:cs="Arial"/>
                <w:bCs/>
                <w:color w:val="000000" w:themeColor="text1"/>
                <w:sz w:val="16"/>
                <w:szCs w:val="16"/>
              </w:rPr>
              <w:t>N</w:t>
            </w:r>
            <w:r w:rsidRPr="00982E61">
              <w:rPr>
                <w:rFonts w:ascii="Arial" w:hAnsi="Arial" w:cs="Arial"/>
                <w:color w:val="000000" w:themeColor="text1"/>
                <w:sz w:val="16"/>
                <w:szCs w:val="16"/>
              </w:rPr>
              <w:t>akład</w:t>
            </w:r>
            <w:r w:rsidR="00D3323D">
              <w:rPr>
                <w:rFonts w:ascii="Arial" w:hAnsi="Arial" w:cs="Arial"/>
                <w:color w:val="000000" w:themeColor="text1"/>
                <w:sz w:val="16"/>
                <w:szCs w:val="16"/>
              </w:rPr>
              <w:t xml:space="preserve">y </w:t>
            </w:r>
            <w:r w:rsidRPr="00982E61">
              <w:rPr>
                <w:rFonts w:ascii="Arial" w:hAnsi="Arial" w:cs="Arial"/>
                <w:color w:val="000000" w:themeColor="text1"/>
                <w:sz w:val="16"/>
                <w:szCs w:val="16"/>
              </w:rPr>
              <w:t>na</w:t>
            </w:r>
            <w:r w:rsidR="00D3323D">
              <w:rPr>
                <w:rFonts w:ascii="Arial" w:hAnsi="Arial" w:cs="Arial"/>
                <w:color w:val="000000" w:themeColor="text1"/>
                <w:sz w:val="16"/>
                <w:szCs w:val="16"/>
              </w:rPr>
              <w:t xml:space="preserve"> działalność badawczą i rozwojową obejmują</w:t>
            </w:r>
            <w:r w:rsidRPr="00982E61">
              <w:rPr>
                <w:rFonts w:ascii="Arial" w:hAnsi="Arial" w:cs="Arial"/>
                <w:color w:val="000000" w:themeColor="text1"/>
                <w:sz w:val="16"/>
                <w:szCs w:val="16"/>
              </w:rPr>
              <w:t xml:space="preserve"> </w:t>
            </w:r>
            <w:r w:rsidRPr="00982E61">
              <w:rPr>
                <w:rFonts w:ascii="Arial" w:hAnsi="Arial" w:cs="Arial"/>
                <w:b/>
                <w:color w:val="000000" w:themeColor="text1"/>
                <w:sz w:val="16"/>
                <w:szCs w:val="16"/>
              </w:rPr>
              <w:t>nakłady wewnętrzne</w:t>
            </w:r>
            <w:r w:rsidRPr="00982E61">
              <w:rPr>
                <w:rFonts w:ascii="Arial" w:hAnsi="Arial" w:cs="Arial"/>
                <w:color w:val="000000" w:themeColor="text1"/>
                <w:sz w:val="16"/>
                <w:szCs w:val="16"/>
              </w:rPr>
              <w:t>,</w:t>
            </w:r>
            <w:r w:rsidRPr="00982E61">
              <w:rPr>
                <w:rFonts w:ascii="Arial" w:hAnsi="Arial" w:cs="Arial"/>
                <w:b/>
                <w:color w:val="000000" w:themeColor="text1"/>
                <w:sz w:val="16"/>
                <w:szCs w:val="16"/>
              </w:rPr>
              <w:t xml:space="preserve"> </w:t>
            </w:r>
            <w:r w:rsidRPr="00982E61">
              <w:rPr>
                <w:rFonts w:ascii="Arial" w:hAnsi="Arial" w:cs="Arial"/>
                <w:color w:val="000000" w:themeColor="text1"/>
                <w:sz w:val="16"/>
                <w:szCs w:val="16"/>
              </w:rPr>
              <w:t xml:space="preserve">tj. wartość prac </w:t>
            </w:r>
            <w:r w:rsidRPr="00982E61">
              <w:rPr>
                <w:rFonts w:ascii="Arial" w:hAnsi="Arial" w:cs="Arial"/>
                <w:color w:val="000000" w:themeColor="text1"/>
                <w:sz w:val="16"/>
                <w:szCs w:val="16"/>
              </w:rPr>
              <w:lastRenderedPageBreak/>
              <w:t xml:space="preserve">badawczych i rozwojowych danej jednostki wykonanych przez jej własne zaplecze badawcze, niezależnie od źródeł ich finansowania. Natomiast dane o nakładach na B+R w przypadku działalności innowacyjnej w przemyśle uwzględniają również </w:t>
            </w:r>
            <w:r w:rsidRPr="00982E61">
              <w:rPr>
                <w:rFonts w:ascii="Arial" w:hAnsi="Arial" w:cs="Arial"/>
                <w:b/>
                <w:color w:val="000000" w:themeColor="text1"/>
                <w:sz w:val="16"/>
                <w:szCs w:val="16"/>
              </w:rPr>
              <w:t>nakłady zewnętrzne</w:t>
            </w:r>
            <w:r w:rsidRPr="00982E61">
              <w:rPr>
                <w:rFonts w:ascii="Arial" w:hAnsi="Arial" w:cs="Arial"/>
                <w:color w:val="000000" w:themeColor="text1"/>
                <w:sz w:val="16"/>
                <w:szCs w:val="16"/>
              </w:rPr>
              <w:t>, które określane są jako wartość prac badawczych i roz</w:t>
            </w:r>
            <w:r w:rsidRPr="00982E61">
              <w:rPr>
                <w:rFonts w:ascii="Arial" w:hAnsi="Arial" w:cs="Arial"/>
                <w:color w:val="000000" w:themeColor="text1"/>
                <w:sz w:val="16"/>
                <w:szCs w:val="16"/>
              </w:rPr>
              <w:softHyphen/>
              <w:t>wojowych w danej jednostce nabytych od innych jednostek (krajowych i zagranicznych).</w:t>
            </w:r>
          </w:p>
          <w:p w:rsidR="00982E61" w:rsidRPr="00982E61" w:rsidRDefault="00982E61" w:rsidP="00AD07B9">
            <w:pPr>
              <w:spacing w:before="20" w:line="170" w:lineRule="exact"/>
              <w:ind w:right="11" w:firstLine="170"/>
              <w:contextualSpacing/>
              <w:jc w:val="both"/>
              <w:rPr>
                <w:rFonts w:ascii="Arial" w:hAnsi="Arial" w:cs="Arial"/>
                <w:color w:val="000000" w:themeColor="text1"/>
                <w:sz w:val="16"/>
                <w:szCs w:val="16"/>
              </w:rPr>
            </w:pPr>
            <w:r w:rsidRPr="00982E61">
              <w:rPr>
                <w:rFonts w:ascii="Arial" w:hAnsi="Arial" w:cs="Arial"/>
                <w:b/>
                <w:bCs/>
                <w:color w:val="000000" w:themeColor="text1"/>
                <w:sz w:val="16"/>
                <w:szCs w:val="16"/>
              </w:rPr>
              <w:t xml:space="preserve">Nakłady inwestycyjne </w:t>
            </w:r>
            <w:r w:rsidRPr="00982E61">
              <w:rPr>
                <w:rFonts w:ascii="Arial" w:hAnsi="Arial" w:cs="Arial"/>
                <w:bCs/>
                <w:color w:val="000000" w:themeColor="text1"/>
                <w:sz w:val="16"/>
                <w:szCs w:val="16"/>
              </w:rPr>
              <w:t xml:space="preserve">na działalność B+R obejmują nakłady poniesione na środki trwałe </w:t>
            </w:r>
            <w:r w:rsidRPr="00982E61">
              <w:rPr>
                <w:rFonts w:ascii="Arial" w:hAnsi="Arial" w:cs="Arial"/>
                <w:color w:val="000000" w:themeColor="text1"/>
                <w:sz w:val="16"/>
                <w:szCs w:val="16"/>
              </w:rPr>
              <w:t>łącznie z kosztami zakupu lub wytworzenia aparatury naukowo-badawczej, niezbędnej do wykonania określonych prac B+R, spełniającej kryteria zaliczania do środków trwałych, lecz do czasu zakończenia tych prac nieujęte</w:t>
            </w:r>
            <w:r w:rsidR="00D63E53">
              <w:rPr>
                <w:rFonts w:ascii="Arial" w:hAnsi="Arial" w:cs="Arial"/>
                <w:color w:val="000000" w:themeColor="text1"/>
                <w:sz w:val="16"/>
                <w:szCs w:val="16"/>
              </w:rPr>
              <w:t>j w ewidencji środków trwałych.</w:t>
            </w:r>
            <w:r w:rsidR="00FE3D8F">
              <w:rPr>
                <w:rFonts w:ascii="Arial" w:hAnsi="Arial" w:cs="Arial"/>
                <w:color w:val="000000" w:themeColor="text1"/>
                <w:sz w:val="16"/>
                <w:szCs w:val="16"/>
              </w:rPr>
              <w:t xml:space="preserve"> </w:t>
            </w:r>
            <w:r w:rsidRPr="00982E61">
              <w:rPr>
                <w:rFonts w:ascii="Arial" w:hAnsi="Arial" w:cs="Arial"/>
                <w:color w:val="000000" w:themeColor="text1"/>
                <w:sz w:val="16"/>
                <w:szCs w:val="16"/>
              </w:rPr>
              <w:t>Od 2016 r. obejmują one także m.in. nakłady poniesione na wartości niematerialne i</w:t>
            </w:r>
            <w:r w:rsidR="00D3323D">
              <w:rPr>
                <w:rFonts w:ascii="Arial" w:hAnsi="Arial" w:cs="Arial"/>
                <w:color w:val="000000" w:themeColor="text1"/>
                <w:sz w:val="16"/>
                <w:szCs w:val="16"/>
              </w:rPr>
              <w:t> </w:t>
            </w:r>
            <w:r w:rsidRPr="00982E61">
              <w:rPr>
                <w:rFonts w:ascii="Arial" w:hAnsi="Arial" w:cs="Arial"/>
                <w:color w:val="000000" w:themeColor="text1"/>
                <w:sz w:val="16"/>
                <w:szCs w:val="16"/>
              </w:rPr>
              <w:t>prawne oraz oprogramowanie komputerowe wykorzystywane w działalności B+R przez okres dłuższy niż 1 rok, które do 2015 r. zaliczano do nakładów bieżących.</w:t>
            </w:r>
          </w:p>
          <w:p w:rsidR="00982E61" w:rsidRPr="00982E61" w:rsidRDefault="00982E61" w:rsidP="00AD07B9">
            <w:pPr>
              <w:tabs>
                <w:tab w:val="left" w:pos="340"/>
              </w:tabs>
              <w:spacing w:before="20" w:line="170" w:lineRule="exact"/>
              <w:ind w:right="11" w:firstLine="113"/>
              <w:jc w:val="both"/>
              <w:rPr>
                <w:rFonts w:ascii="Arial" w:hAnsi="Arial" w:cs="Arial"/>
                <w:color w:val="000000" w:themeColor="text1"/>
                <w:sz w:val="16"/>
                <w:szCs w:val="16"/>
              </w:rPr>
            </w:pPr>
            <w:r w:rsidRPr="00982E61">
              <w:rPr>
                <w:rFonts w:ascii="Arial" w:hAnsi="Arial" w:cs="Arial"/>
                <w:b/>
                <w:bCs/>
                <w:color w:val="000000" w:themeColor="text1"/>
                <w:sz w:val="16"/>
                <w:szCs w:val="16"/>
              </w:rPr>
              <w:t>5. </w:t>
            </w:r>
            <w:r w:rsidRPr="00982E61">
              <w:rPr>
                <w:rFonts w:ascii="Arial" w:hAnsi="Arial" w:cs="Arial"/>
                <w:bCs/>
                <w:color w:val="000000" w:themeColor="text1"/>
                <w:sz w:val="16"/>
                <w:szCs w:val="16"/>
              </w:rPr>
              <w:t xml:space="preserve">Dane o nakładach na działalność badawczą </w:t>
            </w:r>
            <w:r w:rsidRPr="00982E61">
              <w:rPr>
                <w:rFonts w:ascii="Arial" w:hAnsi="Arial" w:cs="Arial"/>
                <w:bCs/>
                <w:color w:val="000000" w:themeColor="text1"/>
                <w:sz w:val="16"/>
                <w:szCs w:val="16"/>
              </w:rPr>
              <w:br/>
              <w:t xml:space="preserve">i rozwojową prezentuje się w układzie </w:t>
            </w:r>
            <w:r w:rsidRPr="00982E61">
              <w:rPr>
                <w:rFonts w:ascii="Arial" w:hAnsi="Arial" w:cs="Arial"/>
                <w:b/>
                <w:bCs/>
                <w:color w:val="000000" w:themeColor="text1"/>
                <w:sz w:val="16"/>
                <w:szCs w:val="16"/>
              </w:rPr>
              <w:t>sek</w:t>
            </w:r>
            <w:r w:rsidRPr="00982E61">
              <w:rPr>
                <w:rFonts w:ascii="Arial" w:hAnsi="Arial" w:cs="Arial"/>
                <w:b/>
                <w:bCs/>
                <w:color w:val="000000" w:themeColor="text1"/>
                <w:sz w:val="16"/>
                <w:szCs w:val="16"/>
              </w:rPr>
              <w:softHyphen/>
              <w:t>torów instytucjonalnych</w:t>
            </w:r>
            <w:r w:rsidRPr="00982E61">
              <w:rPr>
                <w:rFonts w:ascii="Arial" w:hAnsi="Arial" w:cs="Arial"/>
                <w:bCs/>
                <w:color w:val="000000" w:themeColor="text1"/>
                <w:sz w:val="16"/>
                <w:szCs w:val="16"/>
              </w:rPr>
              <w:t xml:space="preserve">, według kryteriów zbieżnych ze stosowanymi w systemie rachunków narodowych. Dodatkowo wyodrębniono sektor szkolnictwa wyższego. Sektory instytucjonalne występują zarówno jako </w:t>
            </w:r>
            <w:r w:rsidRPr="00982E61">
              <w:rPr>
                <w:rFonts w:ascii="Arial" w:hAnsi="Arial" w:cs="Arial"/>
                <w:b/>
                <w:bCs/>
                <w:color w:val="000000" w:themeColor="text1"/>
                <w:sz w:val="16"/>
                <w:szCs w:val="16"/>
              </w:rPr>
              <w:t>sektory wykonawcze</w:t>
            </w:r>
            <w:r w:rsidRPr="00982E61">
              <w:rPr>
                <w:rFonts w:ascii="Arial" w:hAnsi="Arial" w:cs="Arial"/>
                <w:bCs/>
                <w:color w:val="000000" w:themeColor="text1"/>
                <w:sz w:val="16"/>
                <w:szCs w:val="16"/>
              </w:rPr>
              <w:t xml:space="preserve">, obejmujące krajowe grupy podmiotów prowadzące B+R i wydatkujące środki na tę działalność, jak i </w:t>
            </w:r>
            <w:r w:rsidRPr="00982E61">
              <w:rPr>
                <w:rFonts w:ascii="Arial" w:hAnsi="Arial" w:cs="Arial"/>
                <w:b/>
                <w:bCs/>
                <w:color w:val="000000" w:themeColor="text1"/>
                <w:sz w:val="16"/>
                <w:szCs w:val="16"/>
              </w:rPr>
              <w:t>sektory finansujące</w:t>
            </w:r>
            <w:r w:rsidRPr="00982E61">
              <w:rPr>
                <w:rFonts w:ascii="Arial" w:hAnsi="Arial" w:cs="Arial"/>
                <w:bCs/>
                <w:color w:val="000000" w:themeColor="text1"/>
                <w:sz w:val="16"/>
                <w:szCs w:val="16"/>
              </w:rPr>
              <w:t>, z których środki te pochodzą. Wyróżnia się następujące sektory instytucjonalne:</w:t>
            </w:r>
          </w:p>
          <w:p w:rsidR="00982E61" w:rsidRPr="00982E61" w:rsidRDefault="00982E61" w:rsidP="00AD07B9">
            <w:pPr>
              <w:widowControl w:val="0"/>
              <w:numPr>
                <w:ilvl w:val="0"/>
                <w:numId w:val="4"/>
              </w:numPr>
              <w:autoSpaceDE w:val="0"/>
              <w:autoSpaceDN w:val="0"/>
              <w:adjustRightInd w:val="0"/>
              <w:spacing w:before="20" w:line="170" w:lineRule="exact"/>
              <w:ind w:left="227" w:right="11" w:hanging="227"/>
              <w:jc w:val="both"/>
              <w:rPr>
                <w:rFonts w:ascii="Arial" w:hAnsi="Arial" w:cs="Arial"/>
                <w:bCs/>
                <w:color w:val="000000" w:themeColor="text1"/>
                <w:sz w:val="16"/>
                <w:szCs w:val="16"/>
              </w:rPr>
            </w:pPr>
            <w:r w:rsidRPr="00982E61">
              <w:rPr>
                <w:rFonts w:ascii="Arial" w:hAnsi="Arial" w:cs="Arial"/>
                <w:b/>
                <w:bCs/>
                <w:color w:val="000000" w:themeColor="text1"/>
                <w:sz w:val="16"/>
                <w:szCs w:val="16"/>
              </w:rPr>
              <w:t xml:space="preserve">sektor rządowy </w:t>
            </w:r>
            <w:r w:rsidRPr="00982E61">
              <w:rPr>
                <w:rFonts w:ascii="Arial" w:hAnsi="Arial" w:cs="Arial"/>
                <w:bCs/>
                <w:color w:val="000000" w:themeColor="text1"/>
                <w:sz w:val="16"/>
                <w:szCs w:val="16"/>
              </w:rPr>
              <w:t>— podmioty sektora instytucji rządowych i samorządowych w systemie rachunków narodowych z wyłączeniem publicznych instytucji wchodzących w skład sektora szkolnictwa wyższego;</w:t>
            </w:r>
          </w:p>
          <w:p w:rsidR="00982E61" w:rsidRPr="00982E61" w:rsidRDefault="00982E61" w:rsidP="00AD07B9">
            <w:pPr>
              <w:widowControl w:val="0"/>
              <w:numPr>
                <w:ilvl w:val="0"/>
                <w:numId w:val="4"/>
              </w:numPr>
              <w:autoSpaceDE w:val="0"/>
              <w:autoSpaceDN w:val="0"/>
              <w:adjustRightInd w:val="0"/>
              <w:spacing w:before="20" w:line="170" w:lineRule="exact"/>
              <w:ind w:left="227" w:right="11" w:hanging="227"/>
              <w:jc w:val="both"/>
              <w:rPr>
                <w:rFonts w:ascii="Arial" w:hAnsi="Arial" w:cs="Arial"/>
                <w:bCs/>
                <w:color w:val="000000" w:themeColor="text1"/>
                <w:sz w:val="16"/>
                <w:szCs w:val="16"/>
              </w:rPr>
            </w:pPr>
            <w:r w:rsidRPr="00982E61">
              <w:rPr>
                <w:rFonts w:ascii="Arial" w:hAnsi="Arial" w:cs="Arial"/>
                <w:b/>
                <w:bCs/>
                <w:color w:val="000000" w:themeColor="text1"/>
                <w:sz w:val="16"/>
                <w:szCs w:val="16"/>
              </w:rPr>
              <w:t xml:space="preserve">sektor przedsiębiorstw </w:t>
            </w:r>
            <w:r w:rsidRPr="00982E61">
              <w:rPr>
                <w:rFonts w:ascii="Arial" w:hAnsi="Arial" w:cs="Arial"/>
                <w:bCs/>
                <w:color w:val="000000" w:themeColor="text1"/>
                <w:sz w:val="16"/>
                <w:szCs w:val="16"/>
              </w:rPr>
              <w:t>— krajowe podmioty gospodarcze, klasyfikowane w systemie rachunków narodowych do sektorów przedsiębiorstw niefinansowych, instytucji finansowych oraz gospodarstw domowych, z wyłączeniem prywatnych instytucji wchodzących w skład sektora szkolnictwa wyższego;</w:t>
            </w:r>
          </w:p>
          <w:p w:rsidR="00982E61" w:rsidRPr="00982E61" w:rsidRDefault="00982E61" w:rsidP="00AD07B9">
            <w:pPr>
              <w:widowControl w:val="0"/>
              <w:numPr>
                <w:ilvl w:val="0"/>
                <w:numId w:val="4"/>
              </w:numPr>
              <w:autoSpaceDE w:val="0"/>
              <w:autoSpaceDN w:val="0"/>
              <w:adjustRightInd w:val="0"/>
              <w:spacing w:before="20" w:line="170" w:lineRule="exact"/>
              <w:ind w:left="227" w:right="11" w:hanging="227"/>
              <w:jc w:val="both"/>
              <w:rPr>
                <w:rFonts w:ascii="Arial" w:hAnsi="Arial" w:cs="Arial"/>
                <w:bCs/>
                <w:color w:val="000000" w:themeColor="text1"/>
                <w:sz w:val="16"/>
                <w:szCs w:val="16"/>
              </w:rPr>
            </w:pPr>
            <w:r w:rsidRPr="00982E61">
              <w:rPr>
                <w:rFonts w:ascii="Arial" w:hAnsi="Arial" w:cs="Arial"/>
                <w:b/>
                <w:bCs/>
                <w:color w:val="000000" w:themeColor="text1"/>
                <w:sz w:val="16"/>
                <w:szCs w:val="16"/>
              </w:rPr>
              <w:t xml:space="preserve">sektor szkolnictwa wyższego </w:t>
            </w:r>
            <w:r w:rsidRPr="00982E61">
              <w:rPr>
                <w:rFonts w:ascii="Arial" w:hAnsi="Arial" w:cs="Arial"/>
                <w:bCs/>
                <w:color w:val="000000" w:themeColor="text1"/>
                <w:sz w:val="16"/>
                <w:szCs w:val="16"/>
              </w:rPr>
              <w:t>— krajowe uczelnie: publiczne i prywatne (w tym organizacji wyznaniowych) oraz podległe im instytuty, centra badawcze i kliniki. Od 2016 r. do tego sektora zaliczane są również instytuty naukowe PAN oraz instytuty badawcze prowadzące studia doktoranckie;</w:t>
            </w:r>
          </w:p>
          <w:p w:rsidR="00982E61" w:rsidRPr="00982E61" w:rsidRDefault="00982E61" w:rsidP="00AD07B9">
            <w:pPr>
              <w:widowControl w:val="0"/>
              <w:numPr>
                <w:ilvl w:val="0"/>
                <w:numId w:val="4"/>
              </w:numPr>
              <w:autoSpaceDE w:val="0"/>
              <w:autoSpaceDN w:val="0"/>
              <w:adjustRightInd w:val="0"/>
              <w:spacing w:before="20" w:line="170" w:lineRule="exact"/>
              <w:ind w:left="227" w:right="11" w:hanging="227"/>
              <w:jc w:val="both"/>
              <w:rPr>
                <w:rFonts w:ascii="Arial" w:hAnsi="Arial" w:cs="Arial"/>
                <w:bCs/>
                <w:color w:val="000000" w:themeColor="text1"/>
                <w:sz w:val="16"/>
                <w:szCs w:val="16"/>
              </w:rPr>
            </w:pPr>
            <w:r w:rsidRPr="00982E61">
              <w:rPr>
                <w:rFonts w:ascii="Arial" w:hAnsi="Arial" w:cs="Arial"/>
                <w:b/>
                <w:bCs/>
                <w:color w:val="000000" w:themeColor="text1"/>
                <w:sz w:val="16"/>
                <w:szCs w:val="16"/>
              </w:rPr>
              <w:t xml:space="preserve">sektor prywatnych instytucji niekomercyjnych </w:t>
            </w:r>
            <w:r w:rsidRPr="00982E61">
              <w:rPr>
                <w:rFonts w:ascii="Arial" w:hAnsi="Arial" w:cs="Arial"/>
                <w:bCs/>
                <w:color w:val="000000" w:themeColor="text1"/>
                <w:sz w:val="16"/>
                <w:szCs w:val="16"/>
              </w:rPr>
              <w:t>— krajowe podmioty klasyfikowane w</w:t>
            </w:r>
            <w:r w:rsidR="00D3323D">
              <w:rPr>
                <w:rFonts w:ascii="Arial" w:hAnsi="Arial" w:cs="Arial"/>
                <w:bCs/>
                <w:color w:val="000000" w:themeColor="text1"/>
                <w:sz w:val="16"/>
                <w:szCs w:val="16"/>
              </w:rPr>
              <w:t> </w:t>
            </w:r>
            <w:r w:rsidRPr="00982E61">
              <w:rPr>
                <w:rFonts w:ascii="Arial" w:hAnsi="Arial" w:cs="Arial"/>
                <w:bCs/>
                <w:color w:val="000000" w:themeColor="text1"/>
                <w:sz w:val="16"/>
                <w:szCs w:val="16"/>
              </w:rPr>
              <w:t>systemie rachunków narodowych do sektora instytucji niekomercyjnych działających na rzecz gospodarstw domowych, z wyłączeniem tych, które w statystyce B+R są zaliczane do sektora szkolnictwa wyższego (np. uczelni organizacji wyznaniowych);</w:t>
            </w:r>
          </w:p>
          <w:p w:rsidR="00982E61" w:rsidRPr="00982E61" w:rsidRDefault="00982E61" w:rsidP="00AD07B9">
            <w:pPr>
              <w:widowControl w:val="0"/>
              <w:numPr>
                <w:ilvl w:val="0"/>
                <w:numId w:val="4"/>
              </w:numPr>
              <w:autoSpaceDE w:val="0"/>
              <w:autoSpaceDN w:val="0"/>
              <w:adjustRightInd w:val="0"/>
              <w:spacing w:before="20" w:line="170" w:lineRule="exact"/>
              <w:ind w:left="227" w:right="11" w:hanging="227"/>
              <w:jc w:val="both"/>
              <w:rPr>
                <w:rFonts w:ascii="Arial" w:hAnsi="Arial" w:cs="Arial"/>
                <w:bCs/>
                <w:color w:val="000000" w:themeColor="text1"/>
                <w:sz w:val="16"/>
                <w:szCs w:val="16"/>
              </w:rPr>
            </w:pPr>
            <w:r w:rsidRPr="00982E61">
              <w:rPr>
                <w:rFonts w:ascii="Arial" w:hAnsi="Arial" w:cs="Arial"/>
                <w:b/>
                <w:bCs/>
                <w:color w:val="000000" w:themeColor="text1"/>
                <w:sz w:val="16"/>
                <w:szCs w:val="16"/>
              </w:rPr>
              <w:t xml:space="preserve">zagranica </w:t>
            </w:r>
            <w:r w:rsidRPr="00982E61">
              <w:rPr>
                <w:rFonts w:ascii="Arial" w:hAnsi="Arial" w:cs="Arial"/>
                <w:bCs/>
                <w:color w:val="000000" w:themeColor="text1"/>
                <w:sz w:val="16"/>
                <w:szCs w:val="16"/>
              </w:rPr>
              <w:t>— wyróżniana wyłącznie wśród sektorów finansujących; obejmuje jednostki będące nierezydentami, które dokonują transakcji z jednostkami instytucjonalnymi będącymi re</w:t>
            </w:r>
            <w:r w:rsidRPr="00982E61">
              <w:rPr>
                <w:rFonts w:ascii="Arial" w:hAnsi="Arial" w:cs="Arial"/>
                <w:bCs/>
                <w:color w:val="000000" w:themeColor="text1"/>
                <w:sz w:val="16"/>
                <w:szCs w:val="16"/>
              </w:rPr>
              <w:lastRenderedPageBreak/>
              <w:t>zydentami lub mającymi inne powiązania gospodarcze z rezydentami; włączone są tu instytucje i organy Unii Europejskiej oraz organizacje międzynarodowe i ponadnarodowe.</w:t>
            </w:r>
          </w:p>
          <w:p w:rsidR="00982E61" w:rsidRPr="00982E61" w:rsidRDefault="00982E61" w:rsidP="00AD07B9">
            <w:pPr>
              <w:tabs>
                <w:tab w:val="left" w:pos="340"/>
              </w:tabs>
              <w:spacing w:before="20" w:line="170" w:lineRule="exact"/>
              <w:ind w:firstLine="113"/>
              <w:jc w:val="both"/>
              <w:rPr>
                <w:rFonts w:ascii="Arial" w:hAnsi="Arial" w:cs="Arial"/>
                <w:color w:val="000000" w:themeColor="text1"/>
                <w:sz w:val="16"/>
                <w:szCs w:val="16"/>
              </w:rPr>
            </w:pPr>
            <w:r w:rsidRPr="00982E61">
              <w:rPr>
                <w:rFonts w:ascii="Arial" w:hAnsi="Arial" w:cs="Arial"/>
                <w:b/>
                <w:bCs/>
                <w:color w:val="000000" w:themeColor="text1"/>
                <w:sz w:val="16"/>
                <w:szCs w:val="16"/>
              </w:rPr>
              <w:t>6. </w:t>
            </w:r>
            <w:r w:rsidRPr="00982E61">
              <w:rPr>
                <w:rFonts w:ascii="Arial" w:hAnsi="Arial" w:cs="Arial"/>
                <w:color w:val="000000" w:themeColor="text1"/>
                <w:sz w:val="16"/>
                <w:szCs w:val="16"/>
              </w:rPr>
              <w:t>W tablicach działu wyodrębniono sześć podstawowych dziedzin B+R, zgodnie z klasyfikacją badań naukowych i prac rozwojowych OECD, tj. nauki: przyrodnicze, inżynieryjne i techniczne, medyczne i nauki o zdrowiu, rolnicze i weterynaryjne, społeczne oraz humanistyczne łącznie ze sztuką.</w:t>
            </w:r>
          </w:p>
          <w:p w:rsidR="00982E61" w:rsidRDefault="00982E61" w:rsidP="00AD07B9">
            <w:pPr>
              <w:tabs>
                <w:tab w:val="left" w:pos="340"/>
              </w:tabs>
              <w:spacing w:before="20" w:line="170" w:lineRule="exact"/>
              <w:ind w:firstLine="113"/>
              <w:jc w:val="both"/>
              <w:rPr>
                <w:rFonts w:ascii="Arial" w:hAnsi="Arial" w:cs="Arial"/>
                <w:color w:val="000000" w:themeColor="text1"/>
                <w:sz w:val="16"/>
                <w:szCs w:val="16"/>
              </w:rPr>
            </w:pPr>
            <w:r w:rsidRPr="00982E61">
              <w:rPr>
                <w:rFonts w:ascii="Arial" w:hAnsi="Arial" w:cs="Arial"/>
                <w:b/>
                <w:bCs/>
                <w:color w:val="000000" w:themeColor="text1"/>
                <w:sz w:val="16"/>
                <w:szCs w:val="16"/>
              </w:rPr>
              <w:t xml:space="preserve">7. Działalność innowacyjna </w:t>
            </w:r>
            <w:r w:rsidRPr="00982E61">
              <w:rPr>
                <w:rFonts w:ascii="Arial" w:hAnsi="Arial" w:cs="Arial"/>
                <w:bCs/>
                <w:color w:val="000000" w:themeColor="text1"/>
                <w:sz w:val="16"/>
                <w:szCs w:val="16"/>
              </w:rPr>
              <w:t>o</w:t>
            </w:r>
            <w:r w:rsidRPr="00982E61">
              <w:rPr>
                <w:rFonts w:ascii="Arial" w:hAnsi="Arial" w:cs="Arial"/>
                <w:color w:val="000000" w:themeColor="text1"/>
                <w:sz w:val="16"/>
                <w:szCs w:val="16"/>
              </w:rPr>
              <w:t xml:space="preserve">bejmuje wszystkie działania o charakterze rozwojowym, finansowym i komercyjnym podejmowane przez przedsiębiorstwo, których zamierzonym celem jest innowacja. </w:t>
            </w:r>
            <w:r w:rsidRPr="00982E61">
              <w:rPr>
                <w:rFonts w:ascii="Arial" w:hAnsi="Arial" w:cs="Arial"/>
                <w:bCs/>
                <w:color w:val="000000" w:themeColor="text1"/>
                <w:sz w:val="16"/>
                <w:szCs w:val="16"/>
              </w:rPr>
              <w:t>Prezentowane w dziale dane obejmują działalność innowacyjną w przemyśle i </w:t>
            </w:r>
            <w:r w:rsidRPr="00982E61">
              <w:rPr>
                <w:rFonts w:ascii="Arial" w:hAnsi="Arial" w:cs="Arial"/>
                <w:color w:val="000000" w:themeColor="text1"/>
                <w:sz w:val="16"/>
                <w:szCs w:val="16"/>
              </w:rPr>
              <w:t>dotyczą opracowania i</w:t>
            </w:r>
            <w:r w:rsidR="003F7D0B">
              <w:rPr>
                <w:rFonts w:ascii="Arial" w:hAnsi="Arial" w:cs="Arial"/>
                <w:color w:val="000000" w:themeColor="text1"/>
                <w:sz w:val="16"/>
                <w:szCs w:val="16"/>
              </w:rPr>
              <w:t> </w:t>
            </w:r>
            <w:r w:rsidRPr="00982E61">
              <w:rPr>
                <w:rFonts w:ascii="Arial" w:hAnsi="Arial" w:cs="Arial"/>
                <w:color w:val="000000" w:themeColor="text1"/>
                <w:sz w:val="16"/>
                <w:szCs w:val="16"/>
              </w:rPr>
              <w:t xml:space="preserve">wprowadzania na rynek nowych lub ulepszonych produktów (wyrobów, usług) — </w:t>
            </w:r>
            <w:r w:rsidRPr="00982E61">
              <w:rPr>
                <w:rFonts w:ascii="Arial" w:hAnsi="Arial" w:cs="Arial"/>
                <w:b/>
                <w:bCs/>
                <w:color w:val="000000" w:themeColor="text1"/>
                <w:sz w:val="16"/>
                <w:szCs w:val="16"/>
              </w:rPr>
              <w:t>innowacja produktowa</w:t>
            </w:r>
            <w:r w:rsidRPr="00982E61">
              <w:rPr>
                <w:rFonts w:ascii="Arial" w:hAnsi="Arial" w:cs="Arial"/>
                <w:bCs/>
                <w:color w:val="000000" w:themeColor="text1"/>
                <w:sz w:val="16"/>
                <w:szCs w:val="16"/>
              </w:rPr>
              <w:t xml:space="preserve"> </w:t>
            </w:r>
            <w:r w:rsidR="00934E36">
              <w:rPr>
                <w:rFonts w:ascii="Arial" w:hAnsi="Arial" w:cs="Arial"/>
                <w:bCs/>
                <w:color w:val="000000" w:themeColor="text1"/>
                <w:sz w:val="16"/>
                <w:szCs w:val="16"/>
              </w:rPr>
              <w:t xml:space="preserve">oraz </w:t>
            </w:r>
            <w:r w:rsidRPr="00982E61">
              <w:rPr>
                <w:rFonts w:ascii="Arial" w:hAnsi="Arial" w:cs="Arial"/>
                <w:bCs/>
                <w:color w:val="000000" w:themeColor="text1"/>
                <w:sz w:val="16"/>
                <w:szCs w:val="16"/>
              </w:rPr>
              <w:t xml:space="preserve">wprowadzania nowych lub ulepszenia procesów biznesowych </w:t>
            </w:r>
            <w:r w:rsidRPr="00982E61">
              <w:rPr>
                <w:rFonts w:ascii="Arial" w:hAnsi="Arial" w:cs="Arial"/>
                <w:color w:val="000000" w:themeColor="text1"/>
                <w:sz w:val="16"/>
                <w:szCs w:val="16"/>
              </w:rPr>
              <w:t xml:space="preserve">— </w:t>
            </w:r>
            <w:r w:rsidRPr="00982E61">
              <w:rPr>
                <w:rFonts w:ascii="Arial" w:hAnsi="Arial" w:cs="Arial"/>
                <w:b/>
                <w:bCs/>
                <w:color w:val="000000" w:themeColor="text1"/>
                <w:sz w:val="16"/>
                <w:szCs w:val="16"/>
              </w:rPr>
              <w:t>innowacja procesów biznesowych</w:t>
            </w:r>
            <w:r w:rsidRPr="00982E61">
              <w:rPr>
                <w:rFonts w:ascii="Arial" w:hAnsi="Arial" w:cs="Arial"/>
                <w:color w:val="000000" w:themeColor="text1"/>
                <w:sz w:val="16"/>
                <w:szCs w:val="16"/>
              </w:rPr>
              <w:t>.</w:t>
            </w:r>
          </w:p>
          <w:p w:rsidR="00934E36" w:rsidRPr="00934E36" w:rsidRDefault="00934E36" w:rsidP="00AD07B9">
            <w:pPr>
              <w:pStyle w:val="Styl1"/>
              <w:numPr>
                <w:ilvl w:val="0"/>
                <w:numId w:val="0"/>
              </w:numPr>
              <w:spacing w:line="170" w:lineRule="exact"/>
              <w:ind w:firstLine="144"/>
              <w:rPr>
                <w:rFonts w:ascii="Arial" w:hAnsi="Arial" w:cs="Arial"/>
                <w:b w:val="0"/>
                <w:sz w:val="16"/>
                <w:szCs w:val="16"/>
              </w:rPr>
            </w:pPr>
            <w:r w:rsidRPr="00934E36">
              <w:rPr>
                <w:rFonts w:ascii="Arial" w:hAnsi="Arial" w:cs="Arial"/>
                <w:sz w:val="16"/>
                <w:szCs w:val="16"/>
              </w:rPr>
              <w:t>Innowacja produktowa</w:t>
            </w:r>
            <w:r w:rsidRPr="00934E36">
              <w:rPr>
                <w:rFonts w:ascii="Arial" w:hAnsi="Arial" w:cs="Arial"/>
                <w:b w:val="0"/>
                <w:sz w:val="16"/>
                <w:szCs w:val="16"/>
              </w:rPr>
              <w:t xml:space="preserve"> to wprowadzenie na rynek nowego lub ulepszonego produktu (wyrobu lub usługi), znacznie różniących się od poprzednio oferowanych przez przedsiębiorstwo wyrobów lub usług.</w:t>
            </w:r>
          </w:p>
          <w:p w:rsidR="00934E36" w:rsidRPr="00934E36" w:rsidRDefault="00934E36" w:rsidP="00AD07B9">
            <w:pPr>
              <w:pStyle w:val="Styl1"/>
              <w:numPr>
                <w:ilvl w:val="0"/>
                <w:numId w:val="0"/>
              </w:numPr>
              <w:spacing w:line="170" w:lineRule="exact"/>
              <w:ind w:firstLine="144"/>
              <w:rPr>
                <w:rFonts w:ascii="Arial" w:hAnsi="Arial" w:cs="Arial"/>
                <w:b w:val="0"/>
                <w:sz w:val="16"/>
                <w:szCs w:val="16"/>
                <w:lang w:val="pl-PL"/>
              </w:rPr>
            </w:pPr>
            <w:r w:rsidRPr="00934E36">
              <w:rPr>
                <w:rFonts w:ascii="Arial" w:hAnsi="Arial" w:cs="Arial"/>
                <w:sz w:val="16"/>
                <w:szCs w:val="16"/>
              </w:rPr>
              <w:t xml:space="preserve">Innowacja procesów biznesowych </w:t>
            </w:r>
            <w:r w:rsidRPr="00934E36">
              <w:rPr>
                <w:rFonts w:ascii="Arial" w:hAnsi="Arial" w:cs="Arial"/>
                <w:b w:val="0"/>
                <w:sz w:val="16"/>
                <w:szCs w:val="16"/>
              </w:rPr>
              <w:t>to wprowadzenie nowych lub ulepszenie procesów biznesowych w przedsiębiorstwie, w ramach jednej lub wielu funkcji biznesowych, które znacząco zmieniają dotychczas stosowane procesy biznesowe.</w:t>
            </w:r>
          </w:p>
          <w:p w:rsidR="00982E61" w:rsidRPr="00982E61" w:rsidRDefault="00982E61" w:rsidP="00AD07B9">
            <w:pPr>
              <w:spacing w:line="170" w:lineRule="exact"/>
              <w:ind w:right="11" w:firstLine="170"/>
              <w:jc w:val="both"/>
              <w:rPr>
                <w:rFonts w:ascii="Arial" w:hAnsi="Arial" w:cs="Arial"/>
                <w:color w:val="000000" w:themeColor="text1"/>
                <w:sz w:val="16"/>
                <w:szCs w:val="16"/>
              </w:rPr>
            </w:pPr>
            <w:r w:rsidRPr="00982E61">
              <w:rPr>
                <w:rFonts w:ascii="Arial" w:hAnsi="Arial" w:cs="Arial"/>
                <w:b/>
                <w:bCs/>
                <w:color w:val="000000" w:themeColor="text1"/>
                <w:sz w:val="16"/>
                <w:szCs w:val="16"/>
              </w:rPr>
              <w:t xml:space="preserve">Nakłady na działalność innowacyjną </w:t>
            </w:r>
            <w:r w:rsidR="003F7D0B">
              <w:rPr>
                <w:rFonts w:ascii="Arial" w:hAnsi="Arial" w:cs="Arial"/>
                <w:color w:val="000000" w:themeColor="text1"/>
                <w:sz w:val="16"/>
                <w:szCs w:val="16"/>
              </w:rPr>
              <w:t>obejmu</w:t>
            </w:r>
            <w:r w:rsidRPr="00982E61">
              <w:rPr>
                <w:rFonts w:ascii="Arial" w:hAnsi="Arial" w:cs="Arial"/>
                <w:color w:val="000000" w:themeColor="text1"/>
                <w:sz w:val="16"/>
                <w:szCs w:val="16"/>
              </w:rPr>
              <w:t xml:space="preserve">ją nakłady na: </w:t>
            </w:r>
            <w:r w:rsidR="00934E36" w:rsidRPr="00934E36">
              <w:rPr>
                <w:rFonts w:ascii="Arial" w:hAnsi="Arial" w:cs="Arial"/>
                <w:sz w:val="16"/>
                <w:szCs w:val="16"/>
              </w:rPr>
              <w:t>działalność badawczą i rozwojową (B+R), własny personel pracujący nad innowacjami, materiały oraz usługi obce zakupione w</w:t>
            </w:r>
            <w:r w:rsidR="003F7D0B">
              <w:rPr>
                <w:rFonts w:ascii="Arial" w:hAnsi="Arial" w:cs="Arial"/>
                <w:sz w:val="16"/>
                <w:szCs w:val="16"/>
              </w:rPr>
              <w:t> </w:t>
            </w:r>
            <w:r w:rsidR="00934E36" w:rsidRPr="00934E36">
              <w:rPr>
                <w:rFonts w:ascii="Arial" w:hAnsi="Arial" w:cs="Arial"/>
                <w:sz w:val="16"/>
                <w:szCs w:val="16"/>
              </w:rPr>
              <w:t>celu realizacji działalności innowacyjnej, nakłady inwestycyjne na środki trwałe oraz wartości niematerialne i prawne (w tym na zakup i rozwój oprogramowania oraz własności intelektualnej) oraz pozostałe przygotowania (w tym projektowanie produktu, definiowanie sposobu świadczenia usług, przygotowanie produkcji/dystrybucji dla realizacji innowacji, szkolenie i rozwój zawodowy personelu, marketing) do wdrożenia innowacji.</w:t>
            </w:r>
          </w:p>
          <w:p w:rsidR="00934E36" w:rsidRPr="00934E36" w:rsidRDefault="00934E36" w:rsidP="00AD07B9">
            <w:pPr>
              <w:spacing w:before="20" w:line="170" w:lineRule="exact"/>
              <w:ind w:right="11" w:firstLine="170"/>
              <w:jc w:val="both"/>
              <w:rPr>
                <w:rFonts w:ascii="Arial" w:hAnsi="Arial" w:cs="Arial"/>
                <w:sz w:val="16"/>
                <w:szCs w:val="16"/>
              </w:rPr>
            </w:pPr>
            <w:r w:rsidRPr="00934E36">
              <w:rPr>
                <w:rFonts w:ascii="Arial" w:hAnsi="Arial" w:cs="Arial"/>
                <w:b/>
                <w:sz w:val="16"/>
                <w:szCs w:val="16"/>
              </w:rPr>
              <w:t>Produkt nowy lub ulepszony</w:t>
            </w:r>
            <w:r w:rsidRPr="00934E36">
              <w:rPr>
                <w:rFonts w:ascii="Arial" w:hAnsi="Arial" w:cs="Arial"/>
                <w:sz w:val="16"/>
                <w:szCs w:val="16"/>
              </w:rPr>
              <w:t xml:space="preserve"> to wyrób lub usługa, który znacząco różni się od poprzednich produktów przedsiębiorstwa jedną lub wieloma cechami lub parametrami technicznymi. Zmiany te obejmują dodanie nowych lub ulepszenie istniejących funkcji bądź użyteczności. Istotne cechy funkcjonalne obejmują jakość, parametry techniczne, niezawodność, trwałość, wydajność w</w:t>
            </w:r>
            <w:r w:rsidR="003F7D0B">
              <w:rPr>
                <w:rFonts w:ascii="Arial" w:hAnsi="Arial" w:cs="Arial"/>
                <w:sz w:val="16"/>
                <w:szCs w:val="16"/>
              </w:rPr>
              <w:t> </w:t>
            </w:r>
            <w:r w:rsidRPr="00934E36">
              <w:rPr>
                <w:rFonts w:ascii="Arial" w:hAnsi="Arial" w:cs="Arial"/>
                <w:sz w:val="16"/>
                <w:szCs w:val="16"/>
              </w:rPr>
              <w:t>użytkowaniu, przystępność, wygodę, użyteczność oraz łatwość obsługi.</w:t>
            </w:r>
          </w:p>
          <w:p w:rsidR="00982E61" w:rsidRPr="00982E61" w:rsidRDefault="00982E61" w:rsidP="00AD07B9">
            <w:pPr>
              <w:spacing w:before="20" w:line="170" w:lineRule="exact"/>
              <w:ind w:firstLine="113"/>
              <w:jc w:val="both"/>
              <w:rPr>
                <w:rFonts w:ascii="Arial" w:hAnsi="Arial" w:cs="Arial"/>
                <w:color w:val="000000" w:themeColor="text1"/>
                <w:sz w:val="16"/>
                <w:szCs w:val="16"/>
              </w:rPr>
            </w:pPr>
            <w:r w:rsidRPr="00982E61">
              <w:rPr>
                <w:rFonts w:ascii="Arial" w:hAnsi="Arial" w:cs="Arial"/>
                <w:b/>
                <w:bCs/>
                <w:color w:val="000000" w:themeColor="text1"/>
                <w:sz w:val="16"/>
                <w:szCs w:val="16"/>
              </w:rPr>
              <w:t xml:space="preserve">8. Wynalazek podlegający opatentowaniu </w:t>
            </w:r>
            <w:r w:rsidRPr="00982E61">
              <w:rPr>
                <w:rFonts w:ascii="Arial" w:hAnsi="Arial" w:cs="Arial"/>
                <w:color w:val="000000" w:themeColor="text1"/>
                <w:sz w:val="16"/>
                <w:szCs w:val="16"/>
              </w:rPr>
              <w:t>— bez względu na dziedzinę techniki — jest to nowe rozwiązanie posiadające poziom wynalazczy, tzn. niewynikające dla znawcy w sposób oczywisty ze stanu techniki, nadające się do przemysłowego stosowania.</w:t>
            </w:r>
          </w:p>
          <w:p w:rsidR="00982E61" w:rsidRPr="00982E61" w:rsidRDefault="00982E61" w:rsidP="00AD07B9">
            <w:pPr>
              <w:spacing w:before="20" w:line="170" w:lineRule="exact"/>
              <w:ind w:firstLine="113"/>
              <w:jc w:val="both"/>
              <w:rPr>
                <w:rFonts w:ascii="Arial" w:hAnsi="Arial" w:cs="Arial"/>
                <w:color w:val="000000" w:themeColor="text1"/>
                <w:sz w:val="16"/>
                <w:szCs w:val="16"/>
              </w:rPr>
            </w:pPr>
            <w:r w:rsidRPr="00982E61">
              <w:rPr>
                <w:rFonts w:ascii="Arial" w:hAnsi="Arial" w:cs="Arial"/>
                <w:b/>
                <w:bCs/>
                <w:color w:val="000000" w:themeColor="text1"/>
                <w:sz w:val="16"/>
                <w:szCs w:val="16"/>
              </w:rPr>
              <w:t xml:space="preserve">9. Wzór użytkowy podlegający ochronie </w:t>
            </w:r>
            <w:r w:rsidRPr="00982E61">
              <w:rPr>
                <w:rFonts w:ascii="Arial" w:hAnsi="Arial" w:cs="Arial"/>
                <w:color w:val="000000" w:themeColor="text1"/>
                <w:sz w:val="16"/>
                <w:szCs w:val="16"/>
              </w:rPr>
              <w:t>jest to nowe i użyteczne rozwiązanie o charakterze technicznym dotyczące kształtu, budowy lub zestawienia przedmiotu o trwałej postaci.</w:t>
            </w:r>
          </w:p>
          <w:p w:rsidR="00982E61" w:rsidRPr="00737493" w:rsidRDefault="00982E61" w:rsidP="00B57B70">
            <w:pPr>
              <w:spacing w:before="20"/>
              <w:ind w:right="618"/>
              <w:jc w:val="both"/>
              <w:rPr>
                <w:rFonts w:ascii="Arial" w:eastAsia="Arial" w:hAnsi="Arial" w:cs="Arial"/>
                <w:b/>
                <w:sz w:val="18"/>
                <w:szCs w:val="18"/>
              </w:rPr>
            </w:pPr>
            <w:r w:rsidRPr="00737493">
              <w:rPr>
                <w:rFonts w:ascii="Arial" w:eastAsia="Arial" w:hAnsi="Arial" w:cs="Arial"/>
                <w:b/>
                <w:w w:val="105"/>
                <w:sz w:val="18"/>
                <w:szCs w:val="18"/>
              </w:rPr>
              <w:lastRenderedPageBreak/>
              <w:t>Społeczeństwo</w:t>
            </w:r>
            <w:r w:rsidRPr="00737493">
              <w:rPr>
                <w:rFonts w:ascii="Arial" w:eastAsia="Arial" w:hAnsi="Arial" w:cs="Arial"/>
                <w:b/>
                <w:spacing w:val="28"/>
                <w:w w:val="105"/>
                <w:sz w:val="18"/>
                <w:szCs w:val="18"/>
              </w:rPr>
              <w:t xml:space="preserve"> </w:t>
            </w:r>
            <w:r w:rsidRPr="00737493">
              <w:rPr>
                <w:rFonts w:ascii="Arial" w:eastAsia="Arial" w:hAnsi="Arial" w:cs="Arial"/>
                <w:b/>
                <w:w w:val="109"/>
                <w:sz w:val="18"/>
                <w:szCs w:val="18"/>
              </w:rPr>
              <w:t>informacyjne</w:t>
            </w:r>
          </w:p>
          <w:p w:rsidR="00982E61" w:rsidRPr="00FE3D8F" w:rsidRDefault="00982E61" w:rsidP="00B57B70">
            <w:pPr>
              <w:spacing w:before="20" w:line="200" w:lineRule="exact"/>
              <w:rPr>
                <w:rFonts w:ascii="Arial" w:hAnsi="Arial" w:cs="Arial"/>
                <w:sz w:val="16"/>
                <w:szCs w:val="16"/>
              </w:rPr>
            </w:pPr>
          </w:p>
          <w:p w:rsidR="00982E61" w:rsidRPr="00FE3D8F" w:rsidRDefault="00FE3D8F" w:rsidP="00862C34">
            <w:pPr>
              <w:tabs>
                <w:tab w:val="left" w:pos="340"/>
              </w:tabs>
              <w:autoSpaceDE w:val="0"/>
              <w:autoSpaceDN w:val="0"/>
              <w:adjustRightInd w:val="0"/>
              <w:spacing w:line="206" w:lineRule="exact"/>
              <w:ind w:firstLine="113"/>
              <w:jc w:val="both"/>
              <w:rPr>
                <w:rFonts w:ascii="Arial" w:hAnsi="Arial" w:cs="Arial"/>
                <w:color w:val="000000" w:themeColor="text1"/>
                <w:sz w:val="16"/>
                <w:szCs w:val="16"/>
              </w:rPr>
            </w:pPr>
            <w:r w:rsidRPr="00A27CE0">
              <w:rPr>
                <w:rFonts w:ascii="Arial" w:hAnsi="Arial" w:cs="Arial"/>
                <w:b/>
                <w:color w:val="000000" w:themeColor="text1"/>
                <w:sz w:val="16"/>
                <w:szCs w:val="16"/>
              </w:rPr>
              <w:t>1.</w:t>
            </w:r>
            <w:r w:rsidRPr="00FE3D8F">
              <w:rPr>
                <w:rFonts w:ascii="Arial" w:hAnsi="Arial" w:cs="Arial"/>
                <w:color w:val="000000" w:themeColor="text1"/>
                <w:sz w:val="16"/>
                <w:szCs w:val="16"/>
              </w:rPr>
              <w:t xml:space="preserve"> </w:t>
            </w:r>
            <w:r w:rsidR="00982E61" w:rsidRPr="00FE3D8F">
              <w:rPr>
                <w:rFonts w:ascii="Arial" w:hAnsi="Arial" w:cs="Arial"/>
                <w:color w:val="000000" w:themeColor="text1"/>
                <w:sz w:val="16"/>
                <w:szCs w:val="16"/>
              </w:rPr>
              <w:t>Prezentowane informacje opracowano na pod-</w:t>
            </w:r>
            <w:r w:rsidR="00982E61" w:rsidRPr="00FE3D8F">
              <w:rPr>
                <w:rFonts w:ascii="Arial" w:hAnsi="Arial" w:cs="Arial"/>
                <w:color w:val="000000" w:themeColor="text1"/>
                <w:sz w:val="16"/>
                <w:szCs w:val="16"/>
              </w:rPr>
              <w:br/>
              <w:t>stawie uogólnionych wyników badań dotyczących wykorzystania technologii informacyjno-komunika</w:t>
            </w:r>
            <w:r w:rsidR="00982E61" w:rsidRPr="00FE3D8F">
              <w:rPr>
                <w:rFonts w:ascii="Arial" w:hAnsi="Arial" w:cs="Arial"/>
                <w:color w:val="000000" w:themeColor="text1"/>
                <w:sz w:val="16"/>
                <w:szCs w:val="16"/>
              </w:rPr>
              <w:softHyphen/>
              <w:t>cyjnych, przeprowadzonych metodą reprezentacyjną według zharmonizowanej metodologii stosowanej w krajach Unii Europejskiej.</w:t>
            </w:r>
          </w:p>
          <w:p w:rsidR="00F008EB" w:rsidRDefault="00982E61" w:rsidP="004F48DE">
            <w:pPr>
              <w:tabs>
                <w:tab w:val="left" w:pos="340"/>
              </w:tabs>
              <w:spacing w:before="30"/>
              <w:ind w:firstLine="113"/>
              <w:jc w:val="both"/>
              <w:rPr>
                <w:rFonts w:ascii="Arial" w:hAnsi="Arial" w:cs="Arial"/>
                <w:color w:val="000000" w:themeColor="text1"/>
                <w:sz w:val="16"/>
                <w:szCs w:val="16"/>
              </w:rPr>
            </w:pPr>
            <w:r w:rsidRPr="00FE3D8F">
              <w:rPr>
                <w:rFonts w:ascii="Arial" w:eastAsia="Arial" w:hAnsi="Arial" w:cs="Arial"/>
                <w:b/>
                <w:sz w:val="16"/>
                <w:szCs w:val="16"/>
              </w:rPr>
              <w:t>2.</w:t>
            </w:r>
            <w:r w:rsidRPr="00FE3D8F">
              <w:rPr>
                <w:rFonts w:ascii="Arial" w:eastAsia="Arial" w:hAnsi="Arial" w:cs="Arial"/>
                <w:sz w:val="16"/>
                <w:szCs w:val="16"/>
              </w:rPr>
              <w:t> </w:t>
            </w:r>
            <w:r w:rsidR="00FE3D8F" w:rsidRPr="00FE3D8F">
              <w:rPr>
                <w:rFonts w:ascii="Arial" w:hAnsi="Arial" w:cs="Arial"/>
                <w:color w:val="000000" w:themeColor="text1"/>
                <w:sz w:val="16"/>
                <w:szCs w:val="16"/>
              </w:rPr>
              <w:t xml:space="preserve">Dane o </w:t>
            </w:r>
            <w:r w:rsidR="00FE3D8F" w:rsidRPr="00B65516">
              <w:rPr>
                <w:rFonts w:ascii="Arial" w:hAnsi="Arial" w:cs="Arial"/>
                <w:b/>
                <w:bCs/>
                <w:color w:val="000000" w:themeColor="text1"/>
                <w:sz w:val="16"/>
                <w:szCs w:val="16"/>
              </w:rPr>
              <w:t>przedsiębiorstwach</w:t>
            </w:r>
            <w:r w:rsidR="001229C7">
              <w:rPr>
                <w:rFonts w:ascii="Arial" w:hAnsi="Arial" w:cs="Arial"/>
                <w:bCs/>
                <w:color w:val="000000" w:themeColor="text1"/>
                <w:sz w:val="16"/>
                <w:szCs w:val="16"/>
              </w:rPr>
              <w:t xml:space="preserve"> </w:t>
            </w:r>
            <w:r w:rsidR="00FE3D8F" w:rsidRPr="001229C7">
              <w:rPr>
                <w:rFonts w:ascii="Arial" w:hAnsi="Arial" w:cs="Arial"/>
                <w:color w:val="000000" w:themeColor="text1"/>
                <w:sz w:val="16"/>
                <w:szCs w:val="16"/>
              </w:rPr>
              <w:t>dotyczą</w:t>
            </w:r>
            <w:r w:rsidR="00FE3D8F" w:rsidRPr="00FE3D8F">
              <w:rPr>
                <w:rFonts w:ascii="Arial" w:hAnsi="Arial" w:cs="Arial"/>
                <w:color w:val="000000" w:themeColor="text1"/>
                <w:sz w:val="16"/>
                <w:szCs w:val="16"/>
              </w:rPr>
              <w:t xml:space="preserve"> podmiotów gospodarczych o liczbie pracujących 10 osób i więcej zaliczanych według Polskiej Klasyfikacji Działalności (PKD 2007) do wybranych sekcji. </w:t>
            </w:r>
          </w:p>
          <w:p w:rsidR="00982E61" w:rsidRPr="00C05D9D" w:rsidRDefault="00FE3D8F" w:rsidP="004F48DE">
            <w:pPr>
              <w:tabs>
                <w:tab w:val="left" w:pos="340"/>
              </w:tabs>
              <w:spacing w:before="40"/>
              <w:ind w:firstLine="113"/>
              <w:jc w:val="both"/>
              <w:rPr>
                <w:b/>
              </w:rPr>
            </w:pPr>
            <w:r w:rsidRPr="00FE3D8F">
              <w:rPr>
                <w:rFonts w:ascii="Arial" w:hAnsi="Arial" w:cs="Arial"/>
                <w:b/>
                <w:bCs/>
                <w:color w:val="000000" w:themeColor="text1"/>
                <w:sz w:val="16"/>
                <w:szCs w:val="16"/>
              </w:rPr>
              <w:t>3. </w:t>
            </w:r>
            <w:r w:rsidRPr="00FE3D8F">
              <w:rPr>
                <w:rFonts w:ascii="Arial" w:hAnsi="Arial" w:cs="Arial"/>
                <w:bCs/>
                <w:color w:val="000000" w:themeColor="text1"/>
                <w:sz w:val="16"/>
                <w:szCs w:val="16"/>
              </w:rPr>
              <w:t>Sprzedaż prowadzona przez przedsiębiorstwa w ramach</w:t>
            </w:r>
            <w:r w:rsidRPr="00FE3D8F">
              <w:rPr>
                <w:rFonts w:ascii="Arial" w:hAnsi="Arial" w:cs="Arial"/>
                <w:b/>
                <w:bCs/>
                <w:color w:val="000000" w:themeColor="text1"/>
                <w:sz w:val="16"/>
                <w:szCs w:val="16"/>
              </w:rPr>
              <w:t xml:space="preserve"> handlu elektronicznego</w:t>
            </w:r>
            <w:r w:rsidR="001229C7">
              <w:rPr>
                <w:rFonts w:ascii="Arial" w:hAnsi="Arial" w:cs="Arial"/>
                <w:bCs/>
                <w:color w:val="000000" w:themeColor="text1"/>
                <w:sz w:val="16"/>
                <w:szCs w:val="16"/>
              </w:rPr>
              <w:t xml:space="preserve"> </w:t>
            </w:r>
            <w:r w:rsidRPr="00FE3D8F">
              <w:rPr>
                <w:rFonts w:ascii="Arial" w:hAnsi="Arial" w:cs="Arial"/>
                <w:iCs/>
                <w:color w:val="000000" w:themeColor="text1"/>
                <w:sz w:val="16"/>
                <w:szCs w:val="16"/>
              </w:rPr>
              <w:t>dotyczy zamówień przyjmowanych za pośrednictwem sklepu internetowego, formularzy elektronicznych na stronie internetowej przedsiębiorstwa, sieci extranet innego przedsiębiorstwa lub wiadomości typu EDI (wiadomości w uzgodnionym formacie, np. EDIFACT, XML posiadające strukturę umożliwiającą ich automatyczne przetwarzanie). Nie uwzględnia się zamówień przyjmowanych za pośrednictwem zwykłej poczty elektronicznej.</w:t>
            </w:r>
          </w:p>
        </w:tc>
        <w:tc>
          <w:tcPr>
            <w:tcW w:w="283" w:type="dxa"/>
            <w:tcBorders>
              <w:top w:val="nil"/>
              <w:left w:val="nil"/>
              <w:bottom w:val="nil"/>
              <w:right w:val="nil"/>
            </w:tcBorders>
          </w:tcPr>
          <w:p w:rsidR="00982E61" w:rsidRPr="00C05D9D" w:rsidRDefault="00982E61" w:rsidP="00B57B70">
            <w:pPr>
              <w:pStyle w:val="1"/>
              <w:ind w:left="0" w:firstLine="0"/>
              <w:rPr>
                <w:b/>
              </w:rPr>
            </w:pPr>
          </w:p>
        </w:tc>
        <w:tc>
          <w:tcPr>
            <w:tcW w:w="3686" w:type="dxa"/>
            <w:vMerge w:val="restart"/>
            <w:tcBorders>
              <w:top w:val="nil"/>
              <w:left w:val="nil"/>
              <w:bottom w:val="nil"/>
              <w:right w:val="nil"/>
            </w:tcBorders>
          </w:tcPr>
          <w:p w:rsidR="00982E61" w:rsidRPr="00486D9F" w:rsidRDefault="00FA6836" w:rsidP="00982E61">
            <w:pPr>
              <w:pStyle w:val="1ang"/>
              <w:spacing w:line="204" w:lineRule="exact"/>
              <w:ind w:firstLine="0"/>
              <w:jc w:val="left"/>
              <w:rPr>
                <w:i w:val="0"/>
                <w:color w:val="595959" w:themeColor="text1" w:themeTint="A6"/>
                <w:sz w:val="20"/>
              </w:rPr>
            </w:pPr>
            <w:r>
              <w:rPr>
                <w:i w:val="0"/>
                <w:color w:val="595959" w:themeColor="text1" w:themeTint="A6"/>
                <w:sz w:val="20"/>
              </w:rPr>
              <w:t>CHAPTER  XII</w:t>
            </w:r>
          </w:p>
          <w:p w:rsidR="00982E61" w:rsidRPr="00486D9F" w:rsidRDefault="00982E61" w:rsidP="00982E61">
            <w:pPr>
              <w:pStyle w:val="1ang"/>
              <w:spacing w:line="204" w:lineRule="exact"/>
              <w:ind w:firstLine="0"/>
              <w:jc w:val="left"/>
              <w:rPr>
                <w:b/>
                <w:i w:val="0"/>
                <w:color w:val="595959" w:themeColor="text1" w:themeTint="A6"/>
                <w:sz w:val="20"/>
              </w:rPr>
            </w:pPr>
            <w:r w:rsidRPr="00486D9F">
              <w:rPr>
                <w:b/>
                <w:i w:val="0"/>
                <w:color w:val="595959" w:themeColor="text1" w:themeTint="A6"/>
                <w:sz w:val="20"/>
              </w:rPr>
              <w:t>SCIENCE  AND  TECHNOLOGY.</w:t>
            </w:r>
            <w:r w:rsidRPr="00486D9F">
              <w:rPr>
                <w:b/>
                <w:i w:val="0"/>
                <w:color w:val="595959" w:themeColor="text1" w:themeTint="A6"/>
                <w:sz w:val="20"/>
              </w:rPr>
              <w:br/>
            </w:r>
            <w:r w:rsidRPr="00486D9F">
              <w:rPr>
                <w:rFonts w:eastAsia="Arial" w:cs="Arial"/>
                <w:b/>
                <w:i w:val="0"/>
                <w:color w:val="595959" w:themeColor="text1" w:themeTint="A6"/>
                <w:w w:val="110"/>
                <w:sz w:val="20"/>
              </w:rPr>
              <w:t>INFORMATION</w:t>
            </w:r>
            <w:r w:rsidRPr="00486D9F">
              <w:rPr>
                <w:rFonts w:eastAsia="Arial" w:cs="Arial"/>
                <w:b/>
                <w:i w:val="0"/>
                <w:color w:val="595959" w:themeColor="text1" w:themeTint="A6"/>
                <w:spacing w:val="14"/>
                <w:w w:val="110"/>
                <w:sz w:val="20"/>
              </w:rPr>
              <w:t xml:space="preserve"> </w:t>
            </w:r>
            <w:r w:rsidRPr="00486D9F">
              <w:rPr>
                <w:rFonts w:eastAsia="Arial" w:cs="Arial"/>
                <w:b/>
                <w:i w:val="0"/>
                <w:color w:val="595959" w:themeColor="text1" w:themeTint="A6"/>
                <w:w w:val="110"/>
                <w:sz w:val="20"/>
              </w:rPr>
              <w:t>SOCIETY</w:t>
            </w:r>
          </w:p>
          <w:p w:rsidR="00982E61" w:rsidRPr="00486D9F" w:rsidRDefault="00982E61" w:rsidP="00982E61">
            <w:pPr>
              <w:pStyle w:val="1ang"/>
              <w:spacing w:line="960" w:lineRule="exact"/>
              <w:ind w:firstLine="0"/>
              <w:jc w:val="left"/>
              <w:rPr>
                <w:b/>
                <w:i w:val="0"/>
                <w:color w:val="595959" w:themeColor="text1" w:themeTint="A6"/>
              </w:rPr>
            </w:pPr>
          </w:p>
          <w:p w:rsidR="00982E61" w:rsidRPr="00486D9F" w:rsidRDefault="00982E61" w:rsidP="00982E61">
            <w:pPr>
              <w:pStyle w:val="1ang"/>
              <w:ind w:firstLine="0"/>
              <w:rPr>
                <w:b/>
                <w:i w:val="0"/>
                <w:color w:val="595959" w:themeColor="text1" w:themeTint="A6"/>
                <w:sz w:val="18"/>
                <w:szCs w:val="18"/>
              </w:rPr>
            </w:pPr>
            <w:r w:rsidRPr="00486D9F">
              <w:rPr>
                <w:b/>
                <w:i w:val="0"/>
                <w:color w:val="595959" w:themeColor="text1" w:themeTint="A6"/>
                <w:sz w:val="18"/>
                <w:szCs w:val="18"/>
              </w:rPr>
              <w:t>General notes</w:t>
            </w:r>
          </w:p>
          <w:p w:rsidR="00982E61" w:rsidRPr="00486D9F" w:rsidRDefault="00982E61" w:rsidP="00982E61">
            <w:pPr>
              <w:pStyle w:val="1ang"/>
              <w:spacing w:line="480" w:lineRule="exact"/>
              <w:ind w:firstLine="0"/>
              <w:jc w:val="left"/>
              <w:rPr>
                <w:b/>
                <w:i w:val="0"/>
                <w:color w:val="595959" w:themeColor="text1" w:themeTint="A6"/>
              </w:rPr>
            </w:pPr>
          </w:p>
          <w:p w:rsidR="00982E61" w:rsidRPr="00486D9F" w:rsidRDefault="00982E61" w:rsidP="00982E61">
            <w:pPr>
              <w:spacing w:line="180" w:lineRule="exact"/>
              <w:jc w:val="both"/>
              <w:rPr>
                <w:rFonts w:ascii="Arial" w:hAnsi="Arial" w:cs="Arial"/>
                <w:b/>
                <w:iCs/>
                <w:color w:val="595959" w:themeColor="text1" w:themeTint="A6"/>
                <w:sz w:val="18"/>
                <w:szCs w:val="18"/>
                <w:lang w:val="en-US"/>
              </w:rPr>
            </w:pPr>
            <w:r w:rsidRPr="00486D9F">
              <w:rPr>
                <w:rFonts w:ascii="Arial" w:hAnsi="Arial" w:cs="Arial"/>
                <w:b/>
                <w:iCs/>
                <w:color w:val="595959" w:themeColor="text1" w:themeTint="A6"/>
                <w:sz w:val="18"/>
                <w:szCs w:val="18"/>
                <w:lang w:val="en-US"/>
              </w:rPr>
              <w:t>Science and technology</w:t>
            </w:r>
          </w:p>
          <w:p w:rsidR="00982E61" w:rsidRDefault="00982E61" w:rsidP="00982E61">
            <w:pPr>
              <w:spacing w:before="20" w:line="168" w:lineRule="exact"/>
              <w:ind w:right="11" w:firstLine="170"/>
              <w:jc w:val="both"/>
              <w:rPr>
                <w:iCs/>
                <w:color w:val="595959" w:themeColor="text1" w:themeTint="A6"/>
                <w:sz w:val="16"/>
                <w:szCs w:val="16"/>
                <w:lang w:val="en-GB"/>
              </w:rPr>
            </w:pPr>
          </w:p>
          <w:p w:rsidR="00982E61" w:rsidRPr="00982E61" w:rsidRDefault="00982E61" w:rsidP="00AD07B9">
            <w:pPr>
              <w:spacing w:before="20" w:line="180" w:lineRule="exact"/>
              <w:ind w:right="11" w:firstLine="170"/>
              <w:jc w:val="both"/>
              <w:rPr>
                <w:rFonts w:ascii="Arial" w:hAnsi="Arial" w:cs="Arial"/>
                <w:iCs/>
                <w:color w:val="595959" w:themeColor="text1" w:themeTint="A6"/>
                <w:spacing w:val="-2"/>
                <w:sz w:val="16"/>
                <w:szCs w:val="16"/>
                <w:lang w:val="en-GB"/>
              </w:rPr>
            </w:pPr>
            <w:r w:rsidRPr="00982E61">
              <w:rPr>
                <w:rFonts w:ascii="Arial" w:hAnsi="Arial" w:cs="Arial"/>
                <w:iCs/>
                <w:color w:val="595959" w:themeColor="text1" w:themeTint="A6"/>
                <w:sz w:val="16"/>
                <w:szCs w:val="16"/>
                <w:lang w:val="en-GB"/>
              </w:rPr>
              <w:t xml:space="preserve">Research and experimental development (R&amp;D) comprise all activities consisting in conducting and supporting scientific research and experimental development. It is creative work, conducted in methodological manner, undertaken to increase the stock of knowledge, including knowledge of humankind, culture and society, and to devise new applications of available knowledge. </w:t>
            </w:r>
            <w:r w:rsidRPr="00982E61">
              <w:rPr>
                <w:rFonts w:ascii="Arial" w:hAnsi="Arial" w:cs="Arial"/>
                <w:iCs/>
                <w:color w:val="595959" w:themeColor="text1" w:themeTint="A6"/>
                <w:spacing w:val="-2"/>
                <w:sz w:val="16"/>
                <w:szCs w:val="16"/>
                <w:lang w:val="en-GB"/>
              </w:rPr>
              <w:t>It includes:</w:t>
            </w:r>
          </w:p>
          <w:p w:rsidR="00982E61" w:rsidRPr="00982E61" w:rsidRDefault="00982E61" w:rsidP="00AD07B9">
            <w:pPr>
              <w:widowControl w:val="0"/>
              <w:numPr>
                <w:ilvl w:val="0"/>
                <w:numId w:val="3"/>
              </w:numPr>
              <w:autoSpaceDE w:val="0"/>
              <w:autoSpaceDN w:val="0"/>
              <w:adjustRightInd w:val="0"/>
              <w:spacing w:before="20" w:line="180" w:lineRule="exact"/>
              <w:ind w:right="11"/>
              <w:jc w:val="both"/>
              <w:rPr>
                <w:rFonts w:ascii="Arial" w:hAnsi="Arial" w:cs="Arial"/>
                <w:bCs/>
                <w:color w:val="595959" w:themeColor="text1" w:themeTint="A6"/>
                <w:sz w:val="16"/>
                <w:szCs w:val="16"/>
                <w:lang w:val="en-GB"/>
              </w:rPr>
            </w:pPr>
            <w:r w:rsidRPr="00982E61">
              <w:rPr>
                <w:rFonts w:ascii="Arial" w:hAnsi="Arial" w:cs="Arial"/>
                <w:b/>
                <w:bCs/>
                <w:color w:val="595959" w:themeColor="text1" w:themeTint="A6"/>
                <w:sz w:val="16"/>
                <w:szCs w:val="16"/>
                <w:lang w:val="en-GB"/>
              </w:rPr>
              <w:t>basic research</w:t>
            </w:r>
            <w:r w:rsidRPr="00982E61">
              <w:rPr>
                <w:rFonts w:ascii="Arial" w:hAnsi="Arial" w:cs="Arial"/>
                <w:bCs/>
                <w:color w:val="595959" w:themeColor="text1" w:themeTint="A6"/>
                <w:sz w:val="16"/>
                <w:szCs w:val="16"/>
                <w:lang w:val="en-GB"/>
              </w:rPr>
              <w:t>, i.e. original experimental or theoretical work undertaken primarily to acquire new knowledge of the underlying foundation of phenomena and observable facts, without any direct commercial application or use in view;</w:t>
            </w:r>
          </w:p>
          <w:p w:rsidR="00982E61" w:rsidRPr="00982E61" w:rsidRDefault="00982E61" w:rsidP="00AD07B9">
            <w:pPr>
              <w:widowControl w:val="0"/>
              <w:numPr>
                <w:ilvl w:val="0"/>
                <w:numId w:val="3"/>
              </w:numPr>
              <w:autoSpaceDE w:val="0"/>
              <w:autoSpaceDN w:val="0"/>
              <w:adjustRightInd w:val="0"/>
              <w:spacing w:before="20" w:line="180" w:lineRule="exact"/>
              <w:ind w:right="11"/>
              <w:jc w:val="both"/>
              <w:rPr>
                <w:rFonts w:ascii="Arial" w:hAnsi="Arial" w:cs="Arial"/>
                <w:bCs/>
                <w:color w:val="595959" w:themeColor="text1" w:themeTint="A6"/>
                <w:sz w:val="16"/>
                <w:szCs w:val="16"/>
                <w:lang w:val="en-GB"/>
              </w:rPr>
            </w:pPr>
            <w:r w:rsidRPr="00982E61">
              <w:rPr>
                <w:rFonts w:ascii="Arial" w:hAnsi="Arial" w:cs="Arial"/>
                <w:b/>
                <w:bCs/>
                <w:color w:val="595959" w:themeColor="text1" w:themeTint="A6"/>
                <w:sz w:val="16"/>
                <w:szCs w:val="16"/>
                <w:lang w:val="en-GB"/>
              </w:rPr>
              <w:t>applied research</w:t>
            </w:r>
            <w:r w:rsidRPr="00982E61">
              <w:rPr>
                <w:rFonts w:ascii="Arial" w:hAnsi="Arial" w:cs="Arial"/>
                <w:bCs/>
                <w:color w:val="595959" w:themeColor="text1" w:themeTint="A6"/>
                <w:sz w:val="16"/>
                <w:szCs w:val="16"/>
                <w:lang w:val="en-GB"/>
              </w:rPr>
              <w:t>, i.e. research undertaken in order to acquire new knowledge, directed primarily towards application or use in practice;</w:t>
            </w:r>
          </w:p>
          <w:p w:rsidR="00982E61" w:rsidRPr="00982E61" w:rsidRDefault="00982E61" w:rsidP="00AD07B9">
            <w:pPr>
              <w:widowControl w:val="0"/>
              <w:numPr>
                <w:ilvl w:val="0"/>
                <w:numId w:val="3"/>
              </w:numPr>
              <w:autoSpaceDE w:val="0"/>
              <w:autoSpaceDN w:val="0"/>
              <w:adjustRightInd w:val="0"/>
              <w:spacing w:before="20" w:line="180" w:lineRule="exact"/>
              <w:ind w:right="11"/>
              <w:jc w:val="both"/>
              <w:rPr>
                <w:rFonts w:ascii="Arial" w:hAnsi="Arial" w:cs="Arial"/>
                <w:iCs/>
                <w:color w:val="595959" w:themeColor="text1" w:themeTint="A6"/>
                <w:sz w:val="16"/>
                <w:szCs w:val="16"/>
                <w:lang w:val="en-GB"/>
              </w:rPr>
            </w:pPr>
            <w:r w:rsidRPr="00982E61">
              <w:rPr>
                <w:rFonts w:ascii="Arial" w:hAnsi="Arial" w:cs="Arial"/>
                <w:b/>
                <w:bCs/>
                <w:color w:val="595959" w:themeColor="text1" w:themeTint="A6"/>
                <w:sz w:val="16"/>
                <w:szCs w:val="16"/>
                <w:lang w:val="en-GB"/>
              </w:rPr>
              <w:t>experimental</w:t>
            </w:r>
            <w:r w:rsidRPr="00982E61">
              <w:rPr>
                <w:rFonts w:ascii="Arial" w:hAnsi="Arial" w:cs="Arial"/>
                <w:b/>
                <w:bCs/>
                <w:iCs/>
                <w:color w:val="595959" w:themeColor="text1" w:themeTint="A6"/>
                <w:sz w:val="16"/>
                <w:szCs w:val="16"/>
                <w:lang w:val="en-GB"/>
              </w:rPr>
              <w:t xml:space="preserve"> development</w:t>
            </w:r>
            <w:r w:rsidRPr="00982E61">
              <w:rPr>
                <w:rFonts w:ascii="Arial" w:hAnsi="Arial" w:cs="Arial"/>
                <w:bCs/>
                <w:iCs/>
                <w:color w:val="595959" w:themeColor="text1" w:themeTint="A6"/>
                <w:sz w:val="16"/>
                <w:szCs w:val="16"/>
                <w:lang w:val="en-GB"/>
              </w:rPr>
              <w:t>,</w:t>
            </w:r>
            <w:r w:rsidRPr="00982E61">
              <w:rPr>
                <w:rFonts w:ascii="Arial" w:hAnsi="Arial" w:cs="Arial"/>
                <w:b/>
                <w:bCs/>
                <w:iCs/>
                <w:color w:val="595959" w:themeColor="text1" w:themeTint="A6"/>
                <w:sz w:val="16"/>
                <w:szCs w:val="16"/>
                <w:lang w:val="en-GB"/>
              </w:rPr>
              <w:t xml:space="preserve"> </w:t>
            </w:r>
            <w:r w:rsidRPr="00982E61">
              <w:rPr>
                <w:rFonts w:ascii="Arial" w:hAnsi="Arial" w:cs="Arial"/>
                <w:iCs/>
                <w:color w:val="595959" w:themeColor="text1" w:themeTint="A6"/>
                <w:sz w:val="16"/>
                <w:szCs w:val="16"/>
                <w:lang w:val="en-GB"/>
              </w:rPr>
              <w:t>i.e. acquiring, combining, shaping and using existing scientific, technological, business and other relevant knowledge and skills for the purpose of producing plans and arrangements or designs for new, altered or improved products, processes and services.</w:t>
            </w:r>
          </w:p>
          <w:p w:rsidR="00982E61" w:rsidRPr="00982E61" w:rsidRDefault="00982E61" w:rsidP="00AD07B9">
            <w:pPr>
              <w:spacing w:before="20" w:line="180" w:lineRule="exact"/>
              <w:ind w:right="11" w:firstLine="170"/>
              <w:jc w:val="both"/>
              <w:rPr>
                <w:rFonts w:ascii="Arial" w:hAnsi="Arial" w:cs="Arial"/>
                <w:iCs/>
                <w:color w:val="595959" w:themeColor="text1" w:themeTint="A6"/>
                <w:sz w:val="16"/>
                <w:szCs w:val="16"/>
                <w:lang w:val="en-GB"/>
              </w:rPr>
            </w:pPr>
            <w:r w:rsidRPr="00982E61">
              <w:rPr>
                <w:rFonts w:ascii="Arial" w:hAnsi="Arial" w:cs="Arial"/>
                <w:bCs/>
                <w:iCs/>
                <w:color w:val="595959" w:themeColor="text1" w:themeTint="A6"/>
                <w:sz w:val="16"/>
                <w:szCs w:val="16"/>
                <w:lang w:val="en-GB"/>
              </w:rPr>
              <w:t xml:space="preserve">Data on research and experimental development (R&amp;D) are presented in accordance with methodology applied by Eurostat, in a breakdown by </w:t>
            </w:r>
            <w:r w:rsidRPr="00982E61">
              <w:rPr>
                <w:rFonts w:ascii="Arial" w:hAnsi="Arial" w:cs="Arial"/>
                <w:b/>
                <w:bCs/>
                <w:iCs/>
                <w:color w:val="595959" w:themeColor="text1" w:themeTint="A6"/>
                <w:sz w:val="16"/>
                <w:szCs w:val="16"/>
                <w:lang w:val="en-GB"/>
              </w:rPr>
              <w:t>Statistical Classification of Economic Activities in the European Community (NACE Rev.</w:t>
            </w:r>
            <w:r w:rsidR="0044181D">
              <w:rPr>
                <w:rFonts w:ascii="Arial" w:hAnsi="Arial" w:cs="Arial"/>
                <w:b/>
                <w:bCs/>
                <w:iCs/>
                <w:color w:val="595959" w:themeColor="text1" w:themeTint="A6"/>
                <w:sz w:val="16"/>
                <w:szCs w:val="16"/>
                <w:lang w:val="en-GB"/>
              </w:rPr>
              <w:t> </w:t>
            </w:r>
            <w:r w:rsidRPr="00982E61">
              <w:rPr>
                <w:rFonts w:ascii="Arial" w:hAnsi="Arial" w:cs="Arial"/>
                <w:b/>
                <w:bCs/>
                <w:iCs/>
                <w:color w:val="595959" w:themeColor="text1" w:themeTint="A6"/>
                <w:sz w:val="16"/>
                <w:szCs w:val="16"/>
                <w:lang w:val="en-GB"/>
              </w:rPr>
              <w:t xml:space="preserve">2) </w:t>
            </w:r>
            <w:r w:rsidRPr="00982E61">
              <w:rPr>
                <w:rFonts w:ascii="Arial" w:hAnsi="Arial" w:cs="Arial"/>
                <w:bCs/>
                <w:iCs/>
                <w:color w:val="595959" w:themeColor="text1" w:themeTint="A6"/>
                <w:sz w:val="16"/>
                <w:szCs w:val="16"/>
                <w:lang w:val="en-GB"/>
              </w:rPr>
              <w:t>and by</w:t>
            </w:r>
            <w:r w:rsidRPr="00982E61">
              <w:rPr>
                <w:rFonts w:ascii="Arial" w:hAnsi="Arial" w:cs="Arial"/>
                <w:b/>
                <w:bCs/>
                <w:iCs/>
                <w:color w:val="595959" w:themeColor="text1" w:themeTint="A6"/>
                <w:sz w:val="16"/>
                <w:szCs w:val="16"/>
                <w:lang w:val="en-GB"/>
              </w:rPr>
              <w:t xml:space="preserve"> institutional sectors</w:t>
            </w:r>
            <w:r w:rsidRPr="00982E61">
              <w:rPr>
                <w:rFonts w:ascii="Arial" w:hAnsi="Arial" w:cs="Arial"/>
                <w:bCs/>
                <w:iCs/>
                <w:color w:val="595959" w:themeColor="text1" w:themeTint="A6"/>
                <w:sz w:val="16"/>
                <w:szCs w:val="16"/>
                <w:lang w:val="en-GB"/>
              </w:rPr>
              <w:t>.</w:t>
            </w:r>
          </w:p>
          <w:p w:rsidR="00982E61" w:rsidRPr="00982E61" w:rsidRDefault="00982E61" w:rsidP="002177C6">
            <w:pPr>
              <w:spacing w:before="40" w:line="186" w:lineRule="exact"/>
              <w:ind w:firstLine="113"/>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1. </w:t>
            </w:r>
            <w:r w:rsidRPr="00982E61">
              <w:rPr>
                <w:rFonts w:ascii="Arial" w:hAnsi="Arial" w:cs="Arial"/>
                <w:bCs/>
                <w:iCs/>
                <w:color w:val="595959" w:themeColor="text1" w:themeTint="A6"/>
                <w:sz w:val="16"/>
                <w:szCs w:val="16"/>
                <w:lang w:val="en-GB"/>
              </w:rPr>
              <w:t>Information regarding</w:t>
            </w:r>
            <w:r w:rsidRPr="00982E61">
              <w:rPr>
                <w:rFonts w:ascii="Arial" w:hAnsi="Arial" w:cs="Arial"/>
                <w:b/>
                <w:bCs/>
                <w:iCs/>
                <w:color w:val="595959" w:themeColor="text1" w:themeTint="A6"/>
                <w:sz w:val="16"/>
                <w:szCs w:val="16"/>
                <w:lang w:val="en-GB"/>
              </w:rPr>
              <w:t xml:space="preserve"> </w:t>
            </w:r>
            <w:r w:rsidRPr="00982E61">
              <w:rPr>
                <w:rFonts w:ascii="Arial" w:hAnsi="Arial" w:cs="Arial"/>
                <w:bCs/>
                <w:iCs/>
                <w:color w:val="595959" w:themeColor="text1" w:themeTint="A6"/>
                <w:sz w:val="16"/>
                <w:szCs w:val="16"/>
                <w:lang w:val="en-GB"/>
              </w:rPr>
              <w:t>research and experimental development (R&amp;D) covers:</w:t>
            </w:r>
          </w:p>
          <w:p w:rsidR="00982E61" w:rsidRPr="00982E61" w:rsidRDefault="00982E61" w:rsidP="00AD07B9">
            <w:pPr>
              <w:numPr>
                <w:ilvl w:val="0"/>
                <w:numId w:val="5"/>
              </w:numPr>
              <w:autoSpaceDN w:val="0"/>
              <w:spacing w:before="20" w:line="180" w:lineRule="exact"/>
              <w:ind w:left="227" w:right="11" w:hanging="227"/>
              <w:jc w:val="both"/>
              <w:rPr>
                <w:rFonts w:ascii="Arial" w:hAnsi="Arial" w:cs="Arial"/>
                <w:iCs/>
                <w:color w:val="595959" w:themeColor="text1" w:themeTint="A6"/>
                <w:sz w:val="16"/>
                <w:szCs w:val="16"/>
                <w:lang w:val="en-GB"/>
              </w:rPr>
            </w:pPr>
            <w:r w:rsidRPr="00982E61">
              <w:rPr>
                <w:rFonts w:ascii="Arial" w:hAnsi="Arial" w:cs="Arial"/>
                <w:b/>
                <w:color w:val="595959" w:themeColor="text1" w:themeTint="A6"/>
                <w:sz w:val="16"/>
                <w:szCs w:val="16"/>
                <w:lang w:val="en-GB"/>
              </w:rPr>
              <w:t>dedicated</w:t>
            </w:r>
            <w:r w:rsidRPr="00982E61">
              <w:rPr>
                <w:rFonts w:ascii="Arial" w:hAnsi="Arial" w:cs="Arial"/>
                <w:b/>
                <w:iCs/>
                <w:color w:val="595959" w:themeColor="text1" w:themeTint="A6"/>
                <w:sz w:val="16"/>
                <w:szCs w:val="16"/>
                <w:lang w:val="en-GB"/>
              </w:rPr>
              <w:t xml:space="preserve"> research entities</w:t>
            </w:r>
            <w:r w:rsidRPr="00982E61">
              <w:rPr>
                <w:rFonts w:ascii="Arial" w:hAnsi="Arial" w:cs="Arial"/>
                <w:iCs/>
                <w:color w:val="595959" w:themeColor="text1" w:themeTint="A6"/>
                <w:sz w:val="16"/>
                <w:szCs w:val="16"/>
                <w:lang w:val="en-GB"/>
              </w:rPr>
              <w:t xml:space="preserve">, i.e. </w:t>
            </w:r>
            <w:r w:rsidRPr="00982E61">
              <w:rPr>
                <w:rFonts w:ascii="Arial" w:hAnsi="Arial" w:cs="Arial"/>
                <w:bCs/>
                <w:iCs/>
                <w:color w:val="595959" w:themeColor="text1" w:themeTint="A6"/>
                <w:sz w:val="16"/>
                <w:szCs w:val="16"/>
                <w:lang w:val="en-GB"/>
              </w:rPr>
              <w:t>entities</w:t>
            </w:r>
            <w:r w:rsidRPr="00982E61">
              <w:rPr>
                <w:rFonts w:ascii="Arial" w:hAnsi="Arial" w:cs="Arial"/>
                <w:iCs/>
                <w:color w:val="595959" w:themeColor="text1" w:themeTint="A6"/>
                <w:sz w:val="16"/>
                <w:szCs w:val="16"/>
                <w:lang w:val="en-GB"/>
              </w:rPr>
              <w:t xml:space="preserve"> whose main (statutory) aim is conducting scientific research and experimental development or their direct support; they include:</w:t>
            </w:r>
          </w:p>
          <w:p w:rsidR="00982E61" w:rsidRPr="00A27CE0" w:rsidRDefault="00982E61" w:rsidP="00AD07B9">
            <w:pPr>
              <w:pStyle w:val="Akapitzlist"/>
              <w:numPr>
                <w:ilvl w:val="0"/>
                <w:numId w:val="10"/>
              </w:numPr>
              <w:tabs>
                <w:tab w:val="left" w:pos="227"/>
              </w:tabs>
              <w:spacing w:before="20" w:line="180" w:lineRule="exact"/>
              <w:ind w:left="569" w:right="11" w:hanging="283"/>
              <w:jc w:val="both"/>
              <w:rPr>
                <w:rFonts w:ascii="Arial" w:hAnsi="Arial" w:cs="Arial"/>
                <w:iCs/>
                <w:color w:val="595959" w:themeColor="text1" w:themeTint="A6"/>
                <w:sz w:val="16"/>
                <w:szCs w:val="16"/>
                <w:lang w:val="en-GB"/>
              </w:rPr>
            </w:pPr>
            <w:r w:rsidRPr="00A27CE0">
              <w:rPr>
                <w:rFonts w:ascii="Arial" w:hAnsi="Arial" w:cs="Arial"/>
                <w:b/>
                <w:iCs/>
                <w:color w:val="595959" w:themeColor="text1" w:themeTint="A6"/>
                <w:sz w:val="16"/>
                <w:szCs w:val="16"/>
                <w:lang w:val="en-GB"/>
              </w:rPr>
              <w:t>scientific institutes of the Polish Academy of Sciences</w:t>
            </w:r>
            <w:r w:rsidRPr="00A27CE0">
              <w:rPr>
                <w:rFonts w:ascii="Arial" w:hAnsi="Arial" w:cs="Arial"/>
                <w:iCs/>
                <w:color w:val="595959" w:themeColor="text1" w:themeTint="A6"/>
                <w:sz w:val="16"/>
                <w:szCs w:val="16"/>
                <w:lang w:val="en-GB"/>
              </w:rPr>
              <w:t>, operat</w:t>
            </w:r>
            <w:r w:rsidRPr="00A27CE0">
              <w:rPr>
                <w:rFonts w:ascii="Arial" w:hAnsi="Arial" w:cs="Arial"/>
                <w:color w:val="595959" w:themeColor="text1" w:themeTint="A6"/>
                <w:sz w:val="16"/>
                <w:szCs w:val="16"/>
                <w:lang w:val="en-GB"/>
              </w:rPr>
              <w:t xml:space="preserve">ing </w:t>
            </w:r>
            <w:r w:rsidRPr="00A27CE0">
              <w:rPr>
                <w:rFonts w:ascii="Arial" w:hAnsi="Arial" w:cs="Arial"/>
                <w:iCs/>
                <w:color w:val="595959" w:themeColor="text1" w:themeTint="A6"/>
                <w:sz w:val="16"/>
                <w:szCs w:val="16"/>
                <w:lang w:val="en-GB"/>
              </w:rPr>
              <w:t>on the basis of the Law on the Polish Academy of Sciences, dated 30th April 2010 (uniform text Journal of Laws 2019 item 1183),</w:t>
            </w:r>
          </w:p>
          <w:p w:rsidR="00982E61" w:rsidRPr="00A27CE0" w:rsidRDefault="00982E61" w:rsidP="00AD07B9">
            <w:pPr>
              <w:pStyle w:val="Akapitzlist"/>
              <w:numPr>
                <w:ilvl w:val="0"/>
                <w:numId w:val="10"/>
              </w:numPr>
              <w:spacing w:before="20" w:line="180" w:lineRule="exact"/>
              <w:ind w:left="569" w:right="11" w:hanging="283"/>
              <w:rPr>
                <w:rFonts w:ascii="Arial" w:hAnsi="Arial" w:cs="Arial"/>
                <w:color w:val="595959" w:themeColor="text1" w:themeTint="A6"/>
                <w:sz w:val="16"/>
                <w:szCs w:val="16"/>
                <w:lang w:val="en-GB"/>
              </w:rPr>
            </w:pPr>
            <w:r w:rsidRPr="00A27CE0">
              <w:rPr>
                <w:rFonts w:ascii="Arial" w:hAnsi="Arial" w:cs="Arial"/>
                <w:b/>
                <w:iCs/>
                <w:color w:val="595959" w:themeColor="text1" w:themeTint="A6"/>
                <w:sz w:val="16"/>
                <w:szCs w:val="16"/>
                <w:lang w:val="en-GB"/>
              </w:rPr>
              <w:t>research</w:t>
            </w:r>
            <w:r w:rsidRPr="00A27CE0">
              <w:rPr>
                <w:rFonts w:ascii="Arial" w:hAnsi="Arial" w:cs="Arial"/>
                <w:b/>
                <w:color w:val="595959" w:themeColor="text1" w:themeTint="A6"/>
                <w:sz w:val="16"/>
                <w:szCs w:val="16"/>
                <w:lang w:val="en-GB"/>
              </w:rPr>
              <w:t xml:space="preserve"> institutes</w:t>
            </w:r>
            <w:r w:rsidRPr="00A27CE0">
              <w:rPr>
                <w:rFonts w:ascii="Arial" w:hAnsi="Arial" w:cs="Arial"/>
                <w:color w:val="595959" w:themeColor="text1" w:themeTint="A6"/>
                <w:sz w:val="16"/>
                <w:szCs w:val="16"/>
                <w:lang w:val="en-GB"/>
              </w:rPr>
              <w:t>, operating on the basis of</w:t>
            </w:r>
            <w:r w:rsidRPr="00A27CE0">
              <w:rPr>
                <w:rFonts w:ascii="Arial" w:hAnsi="Arial" w:cs="Arial"/>
                <w:color w:val="000000" w:themeColor="text1"/>
                <w:sz w:val="16"/>
                <w:szCs w:val="16"/>
                <w:lang w:val="en-GB"/>
              </w:rPr>
              <w:t xml:space="preserve"> </w:t>
            </w:r>
            <w:r w:rsidRPr="00A27CE0">
              <w:rPr>
                <w:rFonts w:ascii="Arial" w:hAnsi="Arial" w:cs="Arial"/>
                <w:color w:val="595959" w:themeColor="text1" w:themeTint="A6"/>
                <w:sz w:val="16"/>
                <w:szCs w:val="16"/>
                <w:lang w:val="en-GB"/>
              </w:rPr>
              <w:t>the</w:t>
            </w:r>
            <w:r w:rsidRPr="00A27CE0">
              <w:rPr>
                <w:rFonts w:ascii="Arial" w:hAnsi="Arial" w:cs="Arial"/>
                <w:color w:val="000000" w:themeColor="text1"/>
                <w:sz w:val="16"/>
                <w:szCs w:val="16"/>
                <w:lang w:val="en-GB"/>
              </w:rPr>
              <w:t xml:space="preserve"> </w:t>
            </w:r>
            <w:r w:rsidRPr="00A27CE0">
              <w:rPr>
                <w:rFonts w:ascii="Arial" w:hAnsi="Arial" w:cs="Arial"/>
                <w:color w:val="595959" w:themeColor="text1" w:themeTint="A6"/>
                <w:sz w:val="16"/>
                <w:szCs w:val="16"/>
                <w:lang w:val="en-GB"/>
              </w:rPr>
              <w:t>Law</w:t>
            </w:r>
            <w:r w:rsidRPr="00A27CE0">
              <w:rPr>
                <w:rFonts w:ascii="Arial" w:hAnsi="Arial" w:cs="Arial"/>
                <w:color w:val="000000" w:themeColor="text1"/>
                <w:sz w:val="16"/>
                <w:szCs w:val="16"/>
                <w:lang w:val="en-GB"/>
              </w:rPr>
              <w:t xml:space="preserve"> </w:t>
            </w:r>
            <w:r w:rsidRPr="00A27CE0">
              <w:rPr>
                <w:rFonts w:ascii="Arial" w:hAnsi="Arial" w:cs="Arial"/>
                <w:color w:val="595959" w:themeColor="text1" w:themeTint="A6"/>
                <w:sz w:val="16"/>
                <w:szCs w:val="16"/>
                <w:lang w:val="en-GB"/>
              </w:rPr>
              <w:t>on</w:t>
            </w:r>
            <w:r w:rsidRPr="00A27CE0">
              <w:rPr>
                <w:rFonts w:ascii="Arial" w:hAnsi="Arial" w:cs="Arial"/>
                <w:color w:val="000000" w:themeColor="text1"/>
                <w:sz w:val="16"/>
                <w:szCs w:val="16"/>
                <w:lang w:val="en-GB"/>
              </w:rPr>
              <w:t xml:space="preserve"> </w:t>
            </w:r>
            <w:r w:rsidRPr="00A27CE0">
              <w:rPr>
                <w:rFonts w:ascii="Arial" w:hAnsi="Arial" w:cs="Arial"/>
                <w:color w:val="595959" w:themeColor="text1" w:themeTint="A6"/>
                <w:sz w:val="16"/>
                <w:szCs w:val="16"/>
                <w:lang w:val="en-GB"/>
              </w:rPr>
              <w:t>the</w:t>
            </w:r>
            <w:r w:rsidRPr="00A27CE0">
              <w:rPr>
                <w:rFonts w:ascii="Arial" w:hAnsi="Arial" w:cs="Arial"/>
                <w:color w:val="000000" w:themeColor="text1"/>
                <w:sz w:val="16"/>
                <w:szCs w:val="16"/>
                <w:lang w:val="en-GB"/>
              </w:rPr>
              <w:t xml:space="preserve"> </w:t>
            </w:r>
            <w:r w:rsidRPr="00A27CE0">
              <w:rPr>
                <w:rFonts w:ascii="Arial" w:hAnsi="Arial" w:cs="Arial"/>
                <w:color w:val="595959" w:themeColor="text1" w:themeTint="A6"/>
                <w:sz w:val="16"/>
                <w:szCs w:val="16"/>
                <w:lang w:val="en-GB"/>
              </w:rPr>
              <w:t>Research</w:t>
            </w:r>
            <w:r w:rsidRPr="00A27CE0">
              <w:rPr>
                <w:rFonts w:ascii="Arial" w:hAnsi="Arial" w:cs="Arial"/>
                <w:color w:val="000000" w:themeColor="text1"/>
                <w:sz w:val="16"/>
                <w:szCs w:val="16"/>
                <w:lang w:val="en-GB"/>
              </w:rPr>
              <w:t xml:space="preserve"> </w:t>
            </w:r>
            <w:r w:rsidRPr="00A27CE0">
              <w:rPr>
                <w:rFonts w:ascii="Arial" w:hAnsi="Arial" w:cs="Arial"/>
                <w:color w:val="595959" w:themeColor="text1" w:themeTint="A6"/>
                <w:sz w:val="16"/>
                <w:szCs w:val="16"/>
                <w:lang w:val="en-GB"/>
              </w:rPr>
              <w:t>Institutes,</w:t>
            </w:r>
            <w:r w:rsidRPr="00A27CE0">
              <w:rPr>
                <w:rFonts w:ascii="Arial" w:hAnsi="Arial" w:cs="Arial"/>
                <w:color w:val="000000" w:themeColor="text1"/>
                <w:sz w:val="16"/>
                <w:szCs w:val="16"/>
                <w:lang w:val="en-GB"/>
              </w:rPr>
              <w:t xml:space="preserve"> </w:t>
            </w:r>
            <w:r w:rsidRPr="00A27CE0">
              <w:rPr>
                <w:rFonts w:ascii="Arial" w:hAnsi="Arial" w:cs="Arial"/>
                <w:color w:val="595959" w:themeColor="text1" w:themeTint="A6"/>
                <w:sz w:val="16"/>
                <w:szCs w:val="16"/>
                <w:lang w:val="en-GB"/>
              </w:rPr>
              <w:t>dated 30th April 2010 (uniform text Journal of Laws 2019 item 1350),</w:t>
            </w:r>
          </w:p>
          <w:p w:rsidR="00982E61" w:rsidRPr="00A27CE0" w:rsidRDefault="00982E61" w:rsidP="00F82123">
            <w:pPr>
              <w:pStyle w:val="Akapitzlist"/>
              <w:numPr>
                <w:ilvl w:val="0"/>
                <w:numId w:val="10"/>
              </w:numPr>
              <w:spacing w:before="20" w:line="180" w:lineRule="exact"/>
              <w:ind w:left="569" w:right="11" w:hanging="283"/>
              <w:jc w:val="both"/>
              <w:rPr>
                <w:rFonts w:ascii="Arial" w:hAnsi="Arial" w:cs="Arial"/>
                <w:color w:val="595959" w:themeColor="text1" w:themeTint="A6"/>
                <w:sz w:val="16"/>
                <w:szCs w:val="16"/>
                <w:lang w:val="en-GB"/>
              </w:rPr>
            </w:pPr>
            <w:r w:rsidRPr="00A27CE0">
              <w:rPr>
                <w:rFonts w:ascii="Arial" w:hAnsi="Arial" w:cs="Arial"/>
                <w:b/>
                <w:iCs/>
                <w:color w:val="595959" w:themeColor="text1" w:themeTint="A6"/>
                <w:sz w:val="16"/>
                <w:szCs w:val="16"/>
                <w:lang w:val="en-GB"/>
              </w:rPr>
              <w:t xml:space="preserve">higher </w:t>
            </w:r>
            <w:r w:rsidRPr="00A27CE0">
              <w:rPr>
                <w:rFonts w:ascii="Arial" w:hAnsi="Arial" w:cs="Arial"/>
                <w:b/>
                <w:color w:val="595959" w:themeColor="text1" w:themeTint="A6"/>
                <w:sz w:val="16"/>
                <w:szCs w:val="16"/>
                <w:lang w:val="en-GB"/>
              </w:rPr>
              <w:t xml:space="preserve">education </w:t>
            </w:r>
            <w:r w:rsidRPr="00A27CE0">
              <w:rPr>
                <w:rFonts w:ascii="Arial" w:hAnsi="Arial" w:cs="Arial"/>
                <w:b/>
                <w:iCs/>
                <w:color w:val="595959" w:themeColor="text1" w:themeTint="A6"/>
                <w:sz w:val="16"/>
                <w:szCs w:val="16"/>
                <w:lang w:val="en-GB"/>
              </w:rPr>
              <w:t>institutions</w:t>
            </w:r>
            <w:r w:rsidRPr="00A27CE0">
              <w:rPr>
                <w:rFonts w:ascii="Arial" w:hAnsi="Arial" w:cs="Arial"/>
                <w:iCs/>
                <w:color w:val="595959" w:themeColor="text1" w:themeTint="A6"/>
                <w:sz w:val="16"/>
                <w:szCs w:val="16"/>
                <w:lang w:val="en-GB"/>
              </w:rPr>
              <w:t xml:space="preserve">, operating under the Law on Higher Education and Science (Journal of Laws 2018 item 1668, </w:t>
            </w:r>
            <w:r w:rsidRPr="00A27CE0">
              <w:rPr>
                <w:rFonts w:ascii="Arial" w:hAnsi="Arial" w:cs="Arial"/>
                <w:iCs/>
                <w:color w:val="595959" w:themeColor="text1" w:themeTint="A6"/>
                <w:sz w:val="16"/>
                <w:szCs w:val="16"/>
                <w:lang w:val="en-GB"/>
              </w:rPr>
              <w:lastRenderedPageBreak/>
              <w:t>with later amendments); in presented R&amp;D statistics the term "higher education institutions" comprises all universities, colleges of technology etc., but it does not include other tertiary level education institutions, university research institutes or centres, university hospitals or clinics and research organisations, the R&amp;D of which is controlled by the higher education sector;</w:t>
            </w:r>
          </w:p>
          <w:p w:rsidR="00982E61" w:rsidRPr="00A27CE0" w:rsidRDefault="00982E61" w:rsidP="00F82123">
            <w:pPr>
              <w:pStyle w:val="Akapitzlist"/>
              <w:numPr>
                <w:ilvl w:val="0"/>
                <w:numId w:val="10"/>
              </w:numPr>
              <w:tabs>
                <w:tab w:val="left" w:pos="227"/>
              </w:tabs>
              <w:spacing w:before="21" w:after="0" w:line="190" w:lineRule="exact"/>
              <w:ind w:left="568" w:right="11" w:hanging="284"/>
              <w:jc w:val="both"/>
              <w:rPr>
                <w:rFonts w:ascii="Arial" w:hAnsi="Arial" w:cs="Arial"/>
                <w:iCs/>
                <w:color w:val="595959" w:themeColor="text1" w:themeTint="A6"/>
                <w:sz w:val="16"/>
                <w:szCs w:val="16"/>
                <w:lang w:val="en-GB"/>
              </w:rPr>
            </w:pPr>
            <w:r w:rsidRPr="00A27CE0">
              <w:rPr>
                <w:rFonts w:ascii="Arial" w:hAnsi="Arial" w:cs="Arial"/>
                <w:b/>
                <w:iCs/>
                <w:color w:val="595959" w:themeColor="text1" w:themeTint="A6"/>
                <w:sz w:val="16"/>
                <w:szCs w:val="16"/>
                <w:lang w:val="en-GB"/>
              </w:rPr>
              <w:t>others</w:t>
            </w:r>
            <w:r w:rsidRPr="00A27CE0">
              <w:rPr>
                <w:rFonts w:ascii="Arial" w:hAnsi="Arial" w:cs="Arial"/>
                <w:iCs/>
                <w:color w:val="595959" w:themeColor="text1" w:themeTint="A6"/>
                <w:sz w:val="16"/>
                <w:szCs w:val="16"/>
                <w:lang w:val="en-GB"/>
              </w:rPr>
              <w:t xml:space="preserve">, </w:t>
            </w:r>
            <w:r w:rsidRPr="00A27CE0">
              <w:rPr>
                <w:rFonts w:ascii="Arial" w:hAnsi="Arial" w:cs="Arial"/>
                <w:iCs/>
                <w:color w:val="595959" w:themeColor="text1" w:themeTint="A6"/>
                <w:spacing w:val="-2"/>
                <w:sz w:val="16"/>
                <w:szCs w:val="16"/>
                <w:lang w:val="en-GB"/>
              </w:rPr>
              <w:t>i.e. other entities classified into NACE</w:t>
            </w:r>
            <w:r w:rsidR="00A27CE0" w:rsidRPr="00A27CE0">
              <w:rPr>
                <w:rFonts w:ascii="Arial" w:hAnsi="Arial" w:cs="Arial"/>
                <w:iCs/>
                <w:color w:val="595959" w:themeColor="text1" w:themeTint="A6"/>
                <w:spacing w:val="-2"/>
                <w:sz w:val="16"/>
                <w:szCs w:val="16"/>
                <w:lang w:val="en-GB"/>
              </w:rPr>
              <w:t xml:space="preserve"> </w:t>
            </w:r>
            <w:r w:rsidRPr="00A27CE0">
              <w:rPr>
                <w:rFonts w:ascii="Arial" w:hAnsi="Arial" w:cs="Arial"/>
                <w:iCs/>
                <w:color w:val="595959" w:themeColor="text1" w:themeTint="A6"/>
                <w:spacing w:val="-2"/>
                <w:sz w:val="16"/>
                <w:szCs w:val="16"/>
                <w:lang w:val="en-GB"/>
              </w:rPr>
              <w:t>Rev. 2</w:t>
            </w:r>
            <w:r w:rsidRPr="00A27CE0">
              <w:rPr>
                <w:rFonts w:ascii="Arial" w:hAnsi="Arial" w:cs="Arial"/>
                <w:iCs/>
                <w:color w:val="595959" w:themeColor="text1" w:themeTint="A6"/>
                <w:sz w:val="16"/>
                <w:szCs w:val="16"/>
                <w:lang w:val="en-GB"/>
              </w:rPr>
              <w:t xml:space="preserve"> division 72 “Scientific research and development” as well as other institutionally linked auxiliary or supervising units, classified or unclassified into NACE Rev. 2 division 72 “Scientific research and development”;</w:t>
            </w:r>
          </w:p>
          <w:p w:rsidR="00982E61" w:rsidRPr="00982E61" w:rsidRDefault="00982E61" w:rsidP="00F82123">
            <w:pPr>
              <w:numPr>
                <w:ilvl w:val="0"/>
                <w:numId w:val="5"/>
              </w:numPr>
              <w:autoSpaceDN w:val="0"/>
              <w:spacing w:before="20" w:line="190" w:lineRule="exact"/>
              <w:ind w:left="227" w:right="11" w:hanging="227"/>
              <w:jc w:val="both"/>
              <w:rPr>
                <w:rFonts w:ascii="Arial" w:hAnsi="Arial" w:cs="Arial"/>
                <w:iCs/>
                <w:color w:val="595959" w:themeColor="text1" w:themeTint="A6"/>
                <w:sz w:val="16"/>
                <w:szCs w:val="16"/>
                <w:lang w:val="en-GB"/>
              </w:rPr>
            </w:pPr>
            <w:r w:rsidRPr="00982E61">
              <w:rPr>
                <w:rFonts w:ascii="Arial" w:hAnsi="Arial" w:cs="Arial"/>
                <w:b/>
                <w:color w:val="595959" w:themeColor="text1" w:themeTint="A6"/>
                <w:sz w:val="16"/>
                <w:szCs w:val="16"/>
                <w:lang w:val="en-GB"/>
              </w:rPr>
              <w:t>economic entities</w:t>
            </w:r>
            <w:r w:rsidRPr="00982E61">
              <w:rPr>
                <w:rFonts w:ascii="Arial" w:hAnsi="Arial" w:cs="Arial"/>
                <w:color w:val="595959" w:themeColor="text1" w:themeTint="A6"/>
                <w:sz w:val="16"/>
                <w:szCs w:val="16"/>
                <w:lang w:val="en-GB"/>
              </w:rPr>
              <w:t xml:space="preserve"> (not classified into NACE Rev. 2 division 72 “Scientific research and development”) which apart from their main activity perform or fund research and development.</w:t>
            </w:r>
          </w:p>
          <w:p w:rsidR="00982E61" w:rsidRPr="00982E61" w:rsidRDefault="00982E61" w:rsidP="00F82123">
            <w:pPr>
              <w:spacing w:before="40" w:line="190" w:lineRule="exact"/>
              <w:ind w:firstLine="113"/>
              <w:jc w:val="both"/>
              <w:rPr>
                <w:rFonts w:ascii="Arial" w:hAnsi="Arial" w:cs="Arial"/>
                <w:iCs/>
                <w:color w:val="595959" w:themeColor="text1" w:themeTint="A6"/>
                <w:sz w:val="16"/>
                <w:szCs w:val="16"/>
                <w:lang w:val="en-GB"/>
              </w:rPr>
            </w:pPr>
            <w:r w:rsidRPr="00982E61">
              <w:rPr>
                <w:rFonts w:ascii="Arial" w:hAnsi="Arial" w:cs="Arial"/>
                <w:b/>
                <w:bCs/>
                <w:iCs/>
                <w:color w:val="595959" w:themeColor="text1" w:themeTint="A6"/>
                <w:sz w:val="16"/>
                <w:szCs w:val="16"/>
                <w:lang w:val="en-GB"/>
              </w:rPr>
              <w:t xml:space="preserve">2. Employed persons </w:t>
            </w:r>
            <w:r w:rsidRPr="00982E61">
              <w:rPr>
                <w:rFonts w:ascii="Arial" w:hAnsi="Arial" w:cs="Arial"/>
                <w:iCs/>
                <w:color w:val="595959" w:themeColor="text1" w:themeTint="A6"/>
                <w:sz w:val="16"/>
                <w:szCs w:val="16"/>
                <w:lang w:val="en-GB"/>
              </w:rPr>
              <w:t>in R&amp;D include:</w:t>
            </w:r>
          </w:p>
          <w:p w:rsidR="00982E61" w:rsidRPr="00982E61" w:rsidRDefault="00982E61" w:rsidP="00F82123">
            <w:pPr>
              <w:widowControl w:val="0"/>
              <w:numPr>
                <w:ilvl w:val="1"/>
                <w:numId w:val="6"/>
              </w:numPr>
              <w:autoSpaceDE w:val="0"/>
              <w:autoSpaceDN w:val="0"/>
              <w:adjustRightInd w:val="0"/>
              <w:spacing w:before="21" w:line="190" w:lineRule="exact"/>
              <w:ind w:left="227" w:right="11"/>
              <w:jc w:val="both"/>
              <w:rPr>
                <w:rFonts w:ascii="Arial" w:hAnsi="Arial" w:cs="Arial"/>
                <w:iCs/>
                <w:color w:val="595959" w:themeColor="text1" w:themeTint="A6"/>
                <w:sz w:val="16"/>
                <w:szCs w:val="16"/>
                <w:lang w:val="en-GB"/>
              </w:rPr>
            </w:pPr>
            <w:r w:rsidRPr="00982E61">
              <w:rPr>
                <w:rFonts w:ascii="Arial" w:hAnsi="Arial" w:cs="Arial"/>
                <w:b/>
                <w:bCs/>
                <w:iCs/>
                <w:color w:val="595959" w:themeColor="text1" w:themeTint="A6"/>
                <w:sz w:val="16"/>
                <w:szCs w:val="16"/>
                <w:lang w:val="en-GB"/>
              </w:rPr>
              <w:t>researchers (RSE)</w:t>
            </w:r>
            <w:r w:rsidRPr="00982E61">
              <w:rPr>
                <w:rFonts w:ascii="Arial" w:hAnsi="Arial" w:cs="Arial"/>
                <w:bCs/>
                <w:iCs/>
                <w:color w:val="595959" w:themeColor="text1" w:themeTint="A6"/>
                <w:sz w:val="16"/>
                <w:szCs w:val="16"/>
                <w:lang w:val="en-GB"/>
              </w:rPr>
              <w:t>, i.e. persons conducting research and improving or developing concepts, theories, models, techniques, instrumentation, software or operational methods;</w:t>
            </w:r>
          </w:p>
          <w:p w:rsidR="00982E61" w:rsidRPr="00982E61" w:rsidRDefault="00982E61" w:rsidP="00F82123">
            <w:pPr>
              <w:widowControl w:val="0"/>
              <w:numPr>
                <w:ilvl w:val="1"/>
                <w:numId w:val="6"/>
              </w:numPr>
              <w:autoSpaceDE w:val="0"/>
              <w:autoSpaceDN w:val="0"/>
              <w:adjustRightInd w:val="0"/>
              <w:spacing w:before="21" w:line="190" w:lineRule="exact"/>
              <w:ind w:left="227" w:right="11"/>
              <w:jc w:val="both"/>
              <w:rPr>
                <w:rFonts w:ascii="Arial" w:hAnsi="Arial" w:cs="Arial"/>
                <w:iCs/>
                <w:color w:val="595959" w:themeColor="text1" w:themeTint="A6"/>
                <w:sz w:val="16"/>
                <w:szCs w:val="16"/>
                <w:lang w:val="en-GB"/>
              </w:rPr>
            </w:pPr>
            <w:r w:rsidRPr="00982E61">
              <w:rPr>
                <w:rFonts w:ascii="Arial" w:hAnsi="Arial" w:cs="Arial"/>
                <w:b/>
                <w:bCs/>
                <w:iCs/>
                <w:color w:val="595959" w:themeColor="text1" w:themeTint="A6"/>
                <w:sz w:val="16"/>
                <w:szCs w:val="16"/>
                <w:lang w:val="en-GB"/>
              </w:rPr>
              <w:t>technicians and equivalent staff</w:t>
            </w:r>
            <w:r w:rsidRPr="00982E61">
              <w:rPr>
                <w:rFonts w:ascii="Arial" w:hAnsi="Arial" w:cs="Arial"/>
                <w:bCs/>
                <w:iCs/>
                <w:color w:val="595959" w:themeColor="text1" w:themeTint="A6"/>
                <w:sz w:val="16"/>
                <w:szCs w:val="16"/>
                <w:lang w:val="en-GB"/>
              </w:rPr>
              <w:t>,</w:t>
            </w:r>
            <w:r w:rsidRPr="00982E61">
              <w:rPr>
                <w:rFonts w:ascii="Arial" w:hAnsi="Arial" w:cs="Arial"/>
                <w:iCs/>
                <w:color w:val="595959" w:themeColor="text1" w:themeTint="A6"/>
                <w:sz w:val="16"/>
                <w:szCs w:val="16"/>
                <w:lang w:val="en-GB"/>
              </w:rPr>
              <w:t xml:space="preserve"> i.e. persons who participate in R&amp;D by performing scientific and technical tasks involving the application of concepts and operational methods and the use of research equipment, normally under the supervision of researchers;</w:t>
            </w:r>
          </w:p>
          <w:p w:rsidR="00982E61" w:rsidRPr="00982E61" w:rsidRDefault="00982E61" w:rsidP="00F82123">
            <w:pPr>
              <w:widowControl w:val="0"/>
              <w:numPr>
                <w:ilvl w:val="1"/>
                <w:numId w:val="6"/>
              </w:numPr>
              <w:tabs>
                <w:tab w:val="left" w:pos="708"/>
              </w:tabs>
              <w:autoSpaceDE w:val="0"/>
              <w:autoSpaceDN w:val="0"/>
              <w:adjustRightInd w:val="0"/>
              <w:spacing w:before="21" w:line="190" w:lineRule="exact"/>
              <w:ind w:left="227" w:right="11"/>
              <w:jc w:val="both"/>
              <w:rPr>
                <w:rFonts w:ascii="Arial" w:hAnsi="Arial" w:cs="Arial"/>
                <w:iCs/>
                <w:color w:val="595959" w:themeColor="text1" w:themeTint="A6"/>
                <w:spacing w:val="-2"/>
                <w:sz w:val="16"/>
                <w:szCs w:val="16"/>
                <w:lang w:val="en-GB"/>
              </w:rPr>
            </w:pPr>
            <w:r w:rsidRPr="00982E61">
              <w:rPr>
                <w:rFonts w:ascii="Arial" w:hAnsi="Arial" w:cs="Arial"/>
                <w:b/>
                <w:bCs/>
                <w:iCs/>
                <w:color w:val="595959" w:themeColor="text1" w:themeTint="A6"/>
                <w:sz w:val="16"/>
                <w:szCs w:val="16"/>
                <w:lang w:val="en-GB"/>
              </w:rPr>
              <w:t>other supporting staff</w:t>
            </w:r>
            <w:r w:rsidRPr="00982E61">
              <w:rPr>
                <w:rFonts w:ascii="Arial" w:hAnsi="Arial" w:cs="Arial"/>
                <w:bCs/>
                <w:iCs/>
                <w:color w:val="595959" w:themeColor="text1" w:themeTint="A6"/>
                <w:sz w:val="16"/>
                <w:szCs w:val="16"/>
                <w:lang w:val="en-GB"/>
              </w:rPr>
              <w:t>,</w:t>
            </w:r>
            <w:r w:rsidRPr="00982E61">
              <w:rPr>
                <w:rFonts w:ascii="Arial" w:hAnsi="Arial" w:cs="Arial"/>
                <w:b/>
                <w:bCs/>
                <w:iCs/>
                <w:color w:val="595959" w:themeColor="text1" w:themeTint="A6"/>
                <w:sz w:val="16"/>
                <w:szCs w:val="16"/>
                <w:lang w:val="en-GB"/>
              </w:rPr>
              <w:t xml:space="preserve"> </w:t>
            </w:r>
            <w:r w:rsidRPr="00982E61">
              <w:rPr>
                <w:rFonts w:ascii="Arial" w:hAnsi="Arial" w:cs="Arial"/>
                <w:iCs/>
                <w:color w:val="595959" w:themeColor="text1" w:themeTint="A6"/>
                <w:sz w:val="16"/>
                <w:szCs w:val="16"/>
                <w:lang w:val="en-GB"/>
              </w:rPr>
              <w:t>including skilled and unskilled craftsmen, as well as administrative, secretarial and clerical staff, participating in R&amp;D projects or directly associated with</w:t>
            </w:r>
            <w:r w:rsidRPr="00982E61">
              <w:rPr>
                <w:rFonts w:ascii="Arial" w:hAnsi="Arial" w:cs="Arial"/>
                <w:iCs/>
                <w:color w:val="595959" w:themeColor="text1" w:themeTint="A6"/>
                <w:spacing w:val="-2"/>
                <w:sz w:val="16"/>
                <w:szCs w:val="16"/>
                <w:lang w:val="en-GB"/>
              </w:rPr>
              <w:t xml:space="preserve"> such projects.</w:t>
            </w:r>
          </w:p>
          <w:p w:rsidR="00982E61" w:rsidRPr="00982E61" w:rsidRDefault="00982E61" w:rsidP="00F82123">
            <w:pPr>
              <w:spacing w:before="40" w:line="190" w:lineRule="exact"/>
              <w:ind w:firstLine="113"/>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3. </w:t>
            </w:r>
            <w:r w:rsidRPr="00982E61">
              <w:rPr>
                <w:rFonts w:ascii="Arial" w:hAnsi="Arial" w:cs="Arial"/>
                <w:bCs/>
                <w:iCs/>
                <w:color w:val="595959" w:themeColor="text1" w:themeTint="A6"/>
                <w:sz w:val="16"/>
                <w:szCs w:val="16"/>
                <w:lang w:val="en-GB"/>
              </w:rPr>
              <w:t xml:space="preserve">Data on </w:t>
            </w:r>
            <w:r w:rsidRPr="00982E61">
              <w:rPr>
                <w:rFonts w:ascii="Arial" w:hAnsi="Arial" w:cs="Arial"/>
                <w:b/>
                <w:bCs/>
                <w:iCs/>
                <w:color w:val="595959" w:themeColor="text1" w:themeTint="A6"/>
                <w:sz w:val="16"/>
                <w:szCs w:val="16"/>
                <w:lang w:val="en-GB"/>
              </w:rPr>
              <w:t xml:space="preserve">R&amp;D personnel </w:t>
            </w:r>
            <w:r w:rsidRPr="00982E61">
              <w:rPr>
                <w:rFonts w:ascii="Arial" w:hAnsi="Arial" w:cs="Arial"/>
                <w:bCs/>
                <w:iCs/>
                <w:color w:val="595959" w:themeColor="text1" w:themeTint="A6"/>
                <w:sz w:val="16"/>
                <w:szCs w:val="16"/>
                <w:lang w:val="en-GB"/>
              </w:rPr>
              <w:t>cover personnel directly engaged in R&amp;D.</w:t>
            </w:r>
          </w:p>
          <w:p w:rsidR="00982E61" w:rsidRPr="00982E61" w:rsidRDefault="00982E61" w:rsidP="00F82123">
            <w:pPr>
              <w:spacing w:before="21" w:line="190" w:lineRule="exact"/>
              <w:ind w:right="11" w:firstLine="170"/>
              <w:jc w:val="both"/>
              <w:rPr>
                <w:rFonts w:ascii="Arial" w:hAnsi="Arial" w:cs="Arial"/>
                <w:bCs/>
                <w:iCs/>
                <w:color w:val="595959" w:themeColor="text1" w:themeTint="A6"/>
                <w:sz w:val="16"/>
                <w:szCs w:val="16"/>
                <w:lang w:val="en-GB"/>
              </w:rPr>
            </w:pPr>
            <w:r w:rsidRPr="00982E61">
              <w:rPr>
                <w:rFonts w:ascii="Arial" w:hAnsi="Arial" w:cs="Arial"/>
                <w:iCs/>
                <w:color w:val="595959" w:themeColor="text1" w:themeTint="A6"/>
                <w:sz w:val="16"/>
                <w:szCs w:val="16"/>
                <w:lang w:val="en-GB"/>
              </w:rPr>
              <w:t xml:space="preserve">Data on </w:t>
            </w:r>
            <w:r w:rsidRPr="00982E61">
              <w:rPr>
                <w:rFonts w:ascii="Arial" w:hAnsi="Arial" w:cs="Arial"/>
                <w:b/>
                <w:bCs/>
                <w:iCs/>
                <w:color w:val="595959" w:themeColor="text1" w:themeTint="A6"/>
                <w:sz w:val="16"/>
                <w:szCs w:val="16"/>
                <w:lang w:val="en-GB"/>
              </w:rPr>
              <w:t xml:space="preserve">employed persons </w:t>
            </w:r>
            <w:r w:rsidRPr="00982E61">
              <w:rPr>
                <w:rFonts w:ascii="Arial" w:hAnsi="Arial" w:cs="Arial"/>
                <w:bCs/>
                <w:iCs/>
                <w:color w:val="595959" w:themeColor="text1" w:themeTint="A6"/>
                <w:sz w:val="16"/>
                <w:szCs w:val="16"/>
                <w:lang w:val="en-GB"/>
              </w:rPr>
              <w:t>—</w:t>
            </w:r>
            <w:r w:rsidRPr="00982E61">
              <w:rPr>
                <w:rFonts w:ascii="Arial" w:hAnsi="Arial" w:cs="Arial"/>
                <w:b/>
                <w:bCs/>
                <w:iCs/>
                <w:color w:val="595959" w:themeColor="text1" w:themeTint="A6"/>
                <w:sz w:val="16"/>
                <w:szCs w:val="16"/>
                <w:lang w:val="en-GB"/>
              </w:rPr>
              <w:t xml:space="preserve"> internal personnel </w:t>
            </w:r>
            <w:r w:rsidRPr="00982E61">
              <w:rPr>
                <w:rFonts w:ascii="Arial" w:hAnsi="Arial" w:cs="Arial"/>
                <w:bCs/>
                <w:iCs/>
                <w:color w:val="595959" w:themeColor="text1" w:themeTint="A6"/>
                <w:sz w:val="16"/>
                <w:szCs w:val="16"/>
                <w:lang w:val="en-GB"/>
              </w:rPr>
              <w:t>— cover persons employed in a given entity under employment relationship (i.e. under a</w:t>
            </w:r>
            <w:r w:rsidR="0044181D">
              <w:rPr>
                <w:rFonts w:ascii="Arial" w:hAnsi="Arial" w:cs="Arial"/>
                <w:bCs/>
                <w:iCs/>
                <w:color w:val="595959" w:themeColor="text1" w:themeTint="A6"/>
                <w:sz w:val="16"/>
                <w:szCs w:val="16"/>
                <w:lang w:val="en-GB"/>
              </w:rPr>
              <w:t> </w:t>
            </w:r>
            <w:r w:rsidRPr="00982E61">
              <w:rPr>
                <w:rFonts w:ascii="Arial" w:hAnsi="Arial" w:cs="Arial"/>
                <w:bCs/>
                <w:iCs/>
                <w:color w:val="595959" w:themeColor="text1" w:themeTint="A6"/>
                <w:sz w:val="16"/>
                <w:szCs w:val="16"/>
                <w:lang w:val="en-GB"/>
              </w:rPr>
              <w:t>contract of employment, election or appointment) as well as employers and self-employed, agents employed under agency contracts, home workers (outwork) and members of agricultural production cooperatives. Data are presented in two approaches, i.e. in persons (table 2) and in full-time equivalents (tables 1).</w:t>
            </w:r>
          </w:p>
          <w:p w:rsidR="00982E61" w:rsidRPr="00982E61" w:rsidRDefault="00982E61" w:rsidP="00F82123">
            <w:pPr>
              <w:spacing w:before="21" w:line="190" w:lineRule="exact"/>
              <w:ind w:right="11" w:firstLine="170"/>
              <w:jc w:val="both"/>
              <w:rPr>
                <w:rFonts w:ascii="Arial" w:hAnsi="Arial" w:cs="Arial"/>
                <w:iCs/>
                <w:color w:val="595959" w:themeColor="text1" w:themeTint="A6"/>
                <w:sz w:val="16"/>
                <w:szCs w:val="16"/>
                <w:lang w:val="en-GB"/>
              </w:rPr>
            </w:pPr>
            <w:r w:rsidRPr="00982E61">
              <w:rPr>
                <w:rFonts w:ascii="Arial" w:hAnsi="Arial" w:cs="Arial"/>
                <w:b/>
                <w:iCs/>
                <w:color w:val="595959" w:themeColor="text1" w:themeTint="A6"/>
                <w:sz w:val="16"/>
                <w:szCs w:val="16"/>
                <w:lang w:val="en-GB"/>
              </w:rPr>
              <w:t>Full-time equivalent (FTE)</w:t>
            </w:r>
            <w:r w:rsidRPr="00982E61">
              <w:rPr>
                <w:rFonts w:ascii="Arial" w:hAnsi="Arial" w:cs="Arial"/>
                <w:iCs/>
                <w:color w:val="595959" w:themeColor="text1" w:themeTint="A6"/>
                <w:sz w:val="16"/>
                <w:szCs w:val="16"/>
                <w:lang w:val="en-GB"/>
              </w:rPr>
              <w:t xml:space="preserve"> is a conversion unit used to determine the number of persons actually engaged in research and development. One FTE equals one person-year spent exclusively on R&amp;D</w:t>
            </w:r>
            <w:r w:rsidRPr="00982E61">
              <w:rPr>
                <w:rFonts w:ascii="Arial" w:hAnsi="Arial" w:cs="Arial"/>
                <w:bCs/>
                <w:iCs/>
                <w:color w:val="595959" w:themeColor="text1" w:themeTint="A6"/>
                <w:sz w:val="16"/>
                <w:szCs w:val="16"/>
                <w:lang w:val="en-GB"/>
              </w:rPr>
              <w:t xml:space="preserve">. </w:t>
            </w:r>
          </w:p>
          <w:p w:rsidR="00982E61" w:rsidRPr="00982E61" w:rsidRDefault="00982E61" w:rsidP="00F82123">
            <w:pPr>
              <w:tabs>
                <w:tab w:val="left" w:pos="708"/>
              </w:tabs>
              <w:spacing w:before="21" w:line="190" w:lineRule="exact"/>
              <w:ind w:right="11" w:firstLine="170"/>
              <w:jc w:val="both"/>
              <w:rPr>
                <w:rFonts w:ascii="Arial" w:hAnsi="Arial" w:cs="Arial"/>
                <w:b/>
                <w:iCs/>
                <w:color w:val="595959" w:themeColor="text1" w:themeTint="A6"/>
                <w:sz w:val="16"/>
                <w:szCs w:val="16"/>
                <w:lang w:val="en-GB"/>
              </w:rPr>
            </w:pPr>
            <w:r w:rsidRPr="00982E61">
              <w:rPr>
                <w:rFonts w:ascii="Arial" w:hAnsi="Arial" w:cs="Arial"/>
                <w:iCs/>
                <w:color w:val="595959" w:themeColor="text1" w:themeTint="A6"/>
                <w:sz w:val="16"/>
                <w:szCs w:val="16"/>
                <w:lang w:val="en-GB"/>
              </w:rPr>
              <w:t xml:space="preserve">Persons not employed in a given entity but engaged in its R&amp;D projects are included in </w:t>
            </w:r>
            <w:r w:rsidRPr="00982E61">
              <w:rPr>
                <w:rFonts w:ascii="Arial" w:hAnsi="Arial" w:cs="Arial"/>
                <w:b/>
                <w:iCs/>
                <w:color w:val="595959" w:themeColor="text1" w:themeTint="A6"/>
                <w:sz w:val="16"/>
                <w:szCs w:val="16"/>
                <w:lang w:val="en-GB"/>
              </w:rPr>
              <w:t>external personnel.</w:t>
            </w:r>
          </w:p>
          <w:p w:rsidR="00982E61" w:rsidRPr="00982E61" w:rsidRDefault="00982E61" w:rsidP="00F82123">
            <w:pPr>
              <w:spacing w:before="40" w:line="190" w:lineRule="exact"/>
              <w:ind w:firstLine="113"/>
              <w:jc w:val="both"/>
              <w:rPr>
                <w:rFonts w:ascii="Arial" w:hAnsi="Arial" w:cs="Arial"/>
                <w:b/>
                <w:bCs/>
                <w:iCs/>
                <w:color w:val="595959" w:themeColor="text1" w:themeTint="A6"/>
                <w:spacing w:val="-2"/>
                <w:sz w:val="16"/>
                <w:szCs w:val="16"/>
                <w:lang w:val="en-GB"/>
              </w:rPr>
            </w:pPr>
            <w:r w:rsidRPr="00982E61">
              <w:rPr>
                <w:rFonts w:ascii="Arial" w:hAnsi="Arial" w:cs="Arial"/>
                <w:b/>
                <w:bCs/>
                <w:iCs/>
                <w:color w:val="595959" w:themeColor="text1" w:themeTint="A6"/>
                <w:sz w:val="16"/>
                <w:szCs w:val="16"/>
                <w:lang w:val="en-GB"/>
              </w:rPr>
              <w:t>4. </w:t>
            </w:r>
            <w:r w:rsidR="00D3323D" w:rsidRPr="00D3323D">
              <w:rPr>
                <w:rFonts w:ascii="Arial" w:hAnsi="Arial" w:cs="Arial"/>
                <w:bCs/>
                <w:iCs/>
                <w:color w:val="595959" w:themeColor="text1" w:themeTint="A6"/>
                <w:sz w:val="16"/>
                <w:szCs w:val="16"/>
                <w:lang w:val="en-GB"/>
              </w:rPr>
              <w:t>E</w:t>
            </w:r>
            <w:r w:rsidRPr="00982E61">
              <w:rPr>
                <w:rFonts w:ascii="Arial" w:hAnsi="Arial" w:cs="Arial"/>
                <w:bCs/>
                <w:iCs/>
                <w:color w:val="595959" w:themeColor="text1" w:themeTint="A6"/>
                <w:sz w:val="16"/>
                <w:szCs w:val="16"/>
                <w:lang w:val="en-GB"/>
              </w:rPr>
              <w:t>xpenditures</w:t>
            </w:r>
            <w:r w:rsidR="00D3323D">
              <w:rPr>
                <w:rFonts w:ascii="Arial" w:hAnsi="Arial" w:cs="Arial"/>
                <w:bCs/>
                <w:iCs/>
                <w:color w:val="595959" w:themeColor="text1" w:themeTint="A6"/>
                <w:sz w:val="16"/>
                <w:szCs w:val="16"/>
                <w:lang w:val="en-GB"/>
              </w:rPr>
              <w:t xml:space="preserve"> on </w:t>
            </w:r>
            <w:r w:rsidR="00D3323D" w:rsidRPr="00982E61">
              <w:rPr>
                <w:rFonts w:ascii="Arial" w:hAnsi="Arial" w:cs="Arial"/>
                <w:iCs/>
                <w:color w:val="595959" w:themeColor="text1" w:themeTint="A6"/>
                <w:sz w:val="16"/>
                <w:szCs w:val="16"/>
                <w:lang w:val="en-GB"/>
              </w:rPr>
              <w:t>research and development</w:t>
            </w:r>
            <w:r w:rsidRPr="00982E61">
              <w:rPr>
                <w:rFonts w:ascii="Arial" w:hAnsi="Arial" w:cs="Arial"/>
                <w:bCs/>
                <w:iCs/>
                <w:color w:val="595959" w:themeColor="text1" w:themeTint="A6"/>
                <w:sz w:val="16"/>
                <w:szCs w:val="16"/>
                <w:lang w:val="en-GB"/>
              </w:rPr>
              <w:t xml:space="preserve"> </w:t>
            </w:r>
            <w:r w:rsidR="00D3323D">
              <w:rPr>
                <w:rFonts w:ascii="Arial" w:hAnsi="Arial" w:cs="Arial"/>
                <w:bCs/>
                <w:iCs/>
                <w:color w:val="595959" w:themeColor="text1" w:themeTint="A6"/>
                <w:sz w:val="16"/>
                <w:szCs w:val="16"/>
                <w:lang w:val="en-GB"/>
              </w:rPr>
              <w:t>include</w:t>
            </w:r>
            <w:r w:rsidRPr="00982E61">
              <w:rPr>
                <w:rFonts w:ascii="Arial" w:hAnsi="Arial" w:cs="Arial"/>
                <w:b/>
                <w:bCs/>
                <w:iCs/>
                <w:color w:val="595959" w:themeColor="text1" w:themeTint="A6"/>
                <w:sz w:val="16"/>
                <w:szCs w:val="16"/>
                <w:lang w:val="en-GB"/>
              </w:rPr>
              <w:t xml:space="preserve"> intramural expenditures</w:t>
            </w:r>
            <w:r w:rsidRPr="00982E61">
              <w:rPr>
                <w:rFonts w:ascii="Arial" w:hAnsi="Arial" w:cs="Arial"/>
                <w:bCs/>
                <w:iCs/>
                <w:color w:val="595959" w:themeColor="text1" w:themeTint="A6"/>
                <w:sz w:val="16"/>
                <w:szCs w:val="16"/>
                <w:lang w:val="en-GB"/>
              </w:rPr>
              <w:t xml:space="preserve">, i.e. the value of research and development works of a given entity </w:t>
            </w:r>
            <w:r w:rsidRPr="00982E61">
              <w:rPr>
                <w:rFonts w:ascii="Arial" w:hAnsi="Arial" w:cs="Arial"/>
                <w:bCs/>
                <w:iCs/>
                <w:color w:val="595959" w:themeColor="text1" w:themeTint="A6"/>
                <w:sz w:val="16"/>
                <w:szCs w:val="16"/>
                <w:lang w:val="en-GB"/>
              </w:rPr>
              <w:lastRenderedPageBreak/>
              <w:t xml:space="preserve">carried out by its own research facilities, regardless of their sources of financing. However, data on R&amp;D expenditures in case of innovation activities in industry </w:t>
            </w:r>
            <w:r w:rsidRPr="00982E61">
              <w:rPr>
                <w:rFonts w:ascii="Arial" w:hAnsi="Arial" w:cs="Arial"/>
                <w:bCs/>
                <w:iCs/>
                <w:color w:val="595959" w:themeColor="text1" w:themeTint="A6"/>
                <w:spacing w:val="-2"/>
                <w:sz w:val="16"/>
                <w:szCs w:val="16"/>
                <w:lang w:val="en-GB"/>
              </w:rPr>
              <w:t>include</w:t>
            </w:r>
            <w:r w:rsidRPr="00982E61">
              <w:rPr>
                <w:rFonts w:ascii="Arial" w:hAnsi="Arial" w:cs="Arial"/>
                <w:spacing w:val="-2"/>
                <w:sz w:val="16"/>
                <w:szCs w:val="16"/>
                <w:lang w:val="en-GB"/>
              </w:rPr>
              <w:t xml:space="preserve"> </w:t>
            </w:r>
            <w:r w:rsidRPr="00982E61">
              <w:rPr>
                <w:rFonts w:ascii="Arial" w:hAnsi="Arial" w:cs="Arial"/>
                <w:bCs/>
                <w:iCs/>
                <w:color w:val="595959" w:themeColor="text1" w:themeTint="A6"/>
                <w:spacing w:val="-2"/>
                <w:sz w:val="16"/>
                <w:szCs w:val="16"/>
                <w:lang w:val="en-GB"/>
              </w:rPr>
              <w:t xml:space="preserve">also </w:t>
            </w:r>
            <w:r w:rsidRPr="00982E61">
              <w:rPr>
                <w:rFonts w:ascii="Arial" w:hAnsi="Arial" w:cs="Arial"/>
                <w:b/>
                <w:bCs/>
                <w:iCs/>
                <w:color w:val="595959" w:themeColor="text1" w:themeTint="A6"/>
                <w:spacing w:val="-2"/>
                <w:sz w:val="16"/>
                <w:szCs w:val="16"/>
                <w:lang w:val="en-GB"/>
              </w:rPr>
              <w:t>extramural</w:t>
            </w:r>
            <w:r w:rsidRPr="00982E61">
              <w:rPr>
                <w:rFonts w:ascii="Arial" w:hAnsi="Arial" w:cs="Arial"/>
                <w:bCs/>
                <w:iCs/>
                <w:color w:val="595959" w:themeColor="text1" w:themeTint="A6"/>
                <w:spacing w:val="-2"/>
                <w:sz w:val="16"/>
                <w:szCs w:val="16"/>
                <w:lang w:val="en-GB"/>
              </w:rPr>
              <w:t xml:space="preserve"> </w:t>
            </w:r>
            <w:r w:rsidRPr="00982E61">
              <w:rPr>
                <w:rFonts w:ascii="Arial" w:hAnsi="Arial" w:cs="Arial"/>
                <w:b/>
                <w:bCs/>
                <w:iCs/>
                <w:color w:val="595959" w:themeColor="text1" w:themeTint="A6"/>
                <w:spacing w:val="-2"/>
                <w:sz w:val="16"/>
                <w:szCs w:val="16"/>
                <w:lang w:val="en-GB"/>
              </w:rPr>
              <w:t xml:space="preserve">expenditures </w:t>
            </w:r>
            <w:r w:rsidRPr="00982E61">
              <w:rPr>
                <w:rFonts w:ascii="Arial" w:hAnsi="Arial" w:cs="Arial"/>
                <w:bCs/>
                <w:iCs/>
                <w:color w:val="595959" w:themeColor="text1" w:themeTint="A6"/>
                <w:spacing w:val="-2"/>
                <w:sz w:val="16"/>
                <w:szCs w:val="16"/>
                <w:lang w:val="en-GB"/>
              </w:rPr>
              <w:t>which are defined as the value of research and development works of a given entity purchased from other (domestic and foreign) entities.</w:t>
            </w:r>
          </w:p>
          <w:p w:rsidR="00982E61" w:rsidRPr="00982E61" w:rsidRDefault="00982E61" w:rsidP="00AD07B9">
            <w:pPr>
              <w:spacing w:before="20" w:line="182" w:lineRule="exact"/>
              <w:ind w:right="11" w:firstLine="170"/>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 xml:space="preserve">Capital R&amp;D expenditures </w:t>
            </w:r>
            <w:r w:rsidRPr="00982E61">
              <w:rPr>
                <w:rFonts w:ascii="Arial" w:hAnsi="Arial" w:cs="Arial"/>
                <w:bCs/>
                <w:iCs/>
                <w:color w:val="595959" w:themeColor="text1" w:themeTint="A6"/>
                <w:sz w:val="16"/>
                <w:szCs w:val="16"/>
                <w:lang w:val="en-GB"/>
              </w:rPr>
              <w:t xml:space="preserve">include expenditures on fixed assets together with costs of purchasing or manufacturing research equipment necessary for performing particular R&amp;D projects, meeting the criteria for inclusion in fixed assets, but not included in records of fixed assets until completion of the project. Since 2016 they have included also </w:t>
            </w:r>
            <w:proofErr w:type="spellStart"/>
            <w:r w:rsidRPr="00982E61">
              <w:rPr>
                <w:rFonts w:ascii="Arial" w:hAnsi="Arial" w:cs="Arial"/>
                <w:bCs/>
                <w:iCs/>
                <w:color w:val="595959" w:themeColor="text1" w:themeTint="A6"/>
                <w:sz w:val="16"/>
                <w:szCs w:val="16"/>
                <w:lang w:val="en-GB"/>
              </w:rPr>
              <w:t>i.a</w:t>
            </w:r>
            <w:proofErr w:type="spellEnd"/>
            <w:r w:rsidRPr="00982E61">
              <w:rPr>
                <w:rFonts w:ascii="Arial" w:hAnsi="Arial" w:cs="Arial"/>
                <w:bCs/>
                <w:iCs/>
                <w:color w:val="595959" w:themeColor="text1" w:themeTint="A6"/>
                <w:sz w:val="16"/>
                <w:szCs w:val="16"/>
                <w:lang w:val="en-GB"/>
              </w:rPr>
              <w:t>. expenditures on intangible fixed assets and computer software used in the performance of R&amp;D for more than one year, which up to 2015 were included in current expenditures.</w:t>
            </w:r>
          </w:p>
          <w:p w:rsidR="00982E61" w:rsidRPr="00982E61" w:rsidRDefault="00982E61" w:rsidP="002177C6">
            <w:pPr>
              <w:spacing w:before="30" w:line="182" w:lineRule="exact"/>
              <w:ind w:firstLine="113"/>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5. </w:t>
            </w:r>
            <w:r w:rsidRPr="00982E61">
              <w:rPr>
                <w:rFonts w:ascii="Arial" w:hAnsi="Arial" w:cs="Arial"/>
                <w:bCs/>
                <w:iCs/>
                <w:color w:val="595959" w:themeColor="text1" w:themeTint="A6"/>
                <w:sz w:val="16"/>
                <w:szCs w:val="16"/>
                <w:lang w:val="en-GB"/>
              </w:rPr>
              <w:t>Data on expenditur</w:t>
            </w:r>
            <w:r w:rsidR="00D3323D">
              <w:rPr>
                <w:rFonts w:ascii="Arial" w:hAnsi="Arial" w:cs="Arial"/>
                <w:bCs/>
                <w:iCs/>
                <w:color w:val="595959" w:themeColor="text1" w:themeTint="A6"/>
                <w:sz w:val="16"/>
                <w:szCs w:val="16"/>
                <w:lang w:val="en-GB"/>
              </w:rPr>
              <w:t xml:space="preserve">es on research and development </w:t>
            </w:r>
            <w:r w:rsidRPr="00982E61">
              <w:rPr>
                <w:rFonts w:ascii="Arial" w:hAnsi="Arial" w:cs="Arial"/>
                <w:bCs/>
                <w:iCs/>
                <w:color w:val="595959" w:themeColor="text1" w:themeTint="A6"/>
                <w:sz w:val="16"/>
                <w:szCs w:val="16"/>
                <w:lang w:val="en-GB"/>
              </w:rPr>
              <w:t>are presented</w:t>
            </w:r>
            <w:r w:rsidRPr="00982E61">
              <w:rPr>
                <w:rFonts w:ascii="Arial" w:hAnsi="Arial" w:cs="Arial"/>
                <w:b/>
                <w:bCs/>
                <w:iCs/>
                <w:color w:val="595959" w:themeColor="text1" w:themeTint="A6"/>
                <w:sz w:val="16"/>
                <w:szCs w:val="16"/>
                <w:lang w:val="en-GB"/>
              </w:rPr>
              <w:t xml:space="preserve"> </w:t>
            </w:r>
            <w:r w:rsidRPr="00982E61">
              <w:rPr>
                <w:rFonts w:ascii="Arial" w:hAnsi="Arial" w:cs="Arial"/>
                <w:bCs/>
                <w:iCs/>
                <w:color w:val="595959" w:themeColor="text1" w:themeTint="A6"/>
                <w:sz w:val="16"/>
                <w:szCs w:val="16"/>
                <w:lang w:val="en-GB"/>
              </w:rPr>
              <w:t xml:space="preserve">in a breakdown by </w:t>
            </w:r>
            <w:r w:rsidRPr="00982E61">
              <w:rPr>
                <w:rFonts w:ascii="Arial" w:hAnsi="Arial" w:cs="Arial"/>
                <w:b/>
                <w:bCs/>
                <w:iCs/>
                <w:color w:val="595959" w:themeColor="text1" w:themeTint="A6"/>
                <w:sz w:val="16"/>
                <w:szCs w:val="16"/>
                <w:lang w:val="en-GB"/>
              </w:rPr>
              <w:t>institutional sectors</w:t>
            </w:r>
            <w:r w:rsidRPr="00982E61">
              <w:rPr>
                <w:rFonts w:ascii="Arial" w:hAnsi="Arial" w:cs="Arial"/>
                <w:bCs/>
                <w:iCs/>
                <w:color w:val="595959" w:themeColor="text1" w:themeTint="A6"/>
                <w:sz w:val="16"/>
                <w:szCs w:val="16"/>
                <w:lang w:val="en-GB"/>
              </w:rPr>
              <w:t>,</w:t>
            </w:r>
            <w:r w:rsidRPr="00982E61">
              <w:rPr>
                <w:rFonts w:ascii="Arial" w:hAnsi="Arial" w:cs="Arial"/>
                <w:b/>
                <w:bCs/>
                <w:iCs/>
                <w:color w:val="595959" w:themeColor="text1" w:themeTint="A6"/>
                <w:sz w:val="16"/>
                <w:szCs w:val="16"/>
                <w:lang w:val="en-GB"/>
              </w:rPr>
              <w:t xml:space="preserve"> </w:t>
            </w:r>
            <w:r w:rsidRPr="00982E61">
              <w:rPr>
                <w:rFonts w:ascii="Arial" w:hAnsi="Arial" w:cs="Arial"/>
                <w:bCs/>
                <w:iCs/>
                <w:color w:val="595959" w:themeColor="text1" w:themeTint="A6"/>
                <w:sz w:val="16"/>
                <w:szCs w:val="16"/>
                <w:lang w:val="en-GB"/>
              </w:rPr>
              <w:t>on the basis of</w:t>
            </w:r>
            <w:r w:rsidRPr="00982E61">
              <w:rPr>
                <w:rFonts w:ascii="Arial" w:hAnsi="Arial" w:cs="Arial"/>
                <w:b/>
                <w:bCs/>
                <w:iCs/>
                <w:color w:val="595959" w:themeColor="text1" w:themeTint="A6"/>
                <w:sz w:val="16"/>
                <w:szCs w:val="16"/>
                <w:lang w:val="en-GB"/>
              </w:rPr>
              <w:t xml:space="preserve"> </w:t>
            </w:r>
            <w:r w:rsidRPr="00982E61">
              <w:rPr>
                <w:rFonts w:ascii="Arial" w:hAnsi="Arial" w:cs="Arial"/>
                <w:bCs/>
                <w:iCs/>
                <w:color w:val="595959" w:themeColor="text1" w:themeTint="A6"/>
                <w:sz w:val="16"/>
                <w:szCs w:val="16"/>
                <w:lang w:val="en-GB"/>
              </w:rPr>
              <w:t xml:space="preserve">criteria coinciding with the ones used in the system of national accounts. Additionally, higher education sector was distinguished. Institutional sectors are distinguished as </w:t>
            </w:r>
            <w:r w:rsidRPr="00982E61">
              <w:rPr>
                <w:rFonts w:ascii="Arial" w:hAnsi="Arial" w:cs="Arial"/>
                <w:b/>
                <w:bCs/>
                <w:iCs/>
                <w:color w:val="595959" w:themeColor="text1" w:themeTint="A6"/>
                <w:sz w:val="16"/>
                <w:szCs w:val="16"/>
                <w:lang w:val="en-GB"/>
              </w:rPr>
              <w:t>performance sectors</w:t>
            </w:r>
            <w:r w:rsidRPr="00982E61">
              <w:rPr>
                <w:rFonts w:ascii="Arial" w:hAnsi="Arial" w:cs="Arial"/>
                <w:bCs/>
                <w:iCs/>
                <w:color w:val="595959" w:themeColor="text1" w:themeTint="A6"/>
                <w:sz w:val="16"/>
                <w:szCs w:val="16"/>
                <w:lang w:val="en-GB"/>
              </w:rPr>
              <w:t xml:space="preserve"> covering domestic groups of entities conducting R&amp;D and spending funds on this activity and </w:t>
            </w:r>
            <w:r w:rsidRPr="00982E61">
              <w:rPr>
                <w:rFonts w:ascii="Arial" w:hAnsi="Arial" w:cs="Arial"/>
                <w:b/>
                <w:bCs/>
                <w:iCs/>
                <w:color w:val="595959" w:themeColor="text1" w:themeTint="A6"/>
                <w:sz w:val="16"/>
                <w:szCs w:val="16"/>
                <w:lang w:val="en-GB"/>
              </w:rPr>
              <w:t>financing sectors</w:t>
            </w:r>
            <w:r w:rsidRPr="00982E61">
              <w:rPr>
                <w:rFonts w:ascii="Arial" w:hAnsi="Arial" w:cs="Arial"/>
                <w:bCs/>
                <w:iCs/>
                <w:color w:val="595959" w:themeColor="text1" w:themeTint="A6"/>
                <w:sz w:val="16"/>
                <w:szCs w:val="16"/>
                <w:lang w:val="en-GB"/>
              </w:rPr>
              <w:t xml:space="preserve"> which provide outlays on R&amp;D. The following institutional sectors are distinguished: </w:t>
            </w:r>
          </w:p>
          <w:p w:rsidR="00982E61" w:rsidRPr="00982E61" w:rsidRDefault="00982E61" w:rsidP="00AD07B9">
            <w:pPr>
              <w:pStyle w:val="Akapitzlist"/>
              <w:numPr>
                <w:ilvl w:val="1"/>
                <w:numId w:val="7"/>
              </w:numPr>
              <w:spacing w:before="20" w:after="0" w:line="182" w:lineRule="exact"/>
              <w:ind w:left="227" w:right="11" w:hanging="227"/>
              <w:contextualSpacing w:val="0"/>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government sector</w:t>
            </w:r>
            <w:r w:rsidRPr="00982E61">
              <w:rPr>
                <w:rFonts w:ascii="Arial" w:hAnsi="Arial" w:cs="Arial"/>
                <w:bCs/>
                <w:iCs/>
                <w:color w:val="595959" w:themeColor="text1" w:themeTint="A6"/>
                <w:sz w:val="16"/>
                <w:szCs w:val="16"/>
                <w:lang w:val="en-GB"/>
              </w:rPr>
              <w:t xml:space="preserve"> — entities of general government sector in the system of national accounts; excluding public institutions included in higher education sector; </w:t>
            </w:r>
          </w:p>
          <w:p w:rsidR="00982E61" w:rsidRPr="00982E61" w:rsidRDefault="00982E61" w:rsidP="00AD07B9">
            <w:pPr>
              <w:pStyle w:val="Akapitzlist"/>
              <w:numPr>
                <w:ilvl w:val="1"/>
                <w:numId w:val="7"/>
              </w:numPr>
              <w:spacing w:before="20" w:after="0" w:line="182" w:lineRule="exact"/>
              <w:ind w:left="227" w:right="11" w:hanging="227"/>
              <w:contextualSpacing w:val="0"/>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business enterprise sector</w:t>
            </w:r>
            <w:r w:rsidRPr="00982E61">
              <w:rPr>
                <w:rFonts w:ascii="Arial" w:hAnsi="Arial" w:cs="Arial"/>
                <w:bCs/>
                <w:iCs/>
                <w:color w:val="595959" w:themeColor="text1" w:themeTint="A6"/>
                <w:sz w:val="16"/>
                <w:szCs w:val="16"/>
                <w:lang w:val="en-GB"/>
              </w:rPr>
              <w:t xml:space="preserve"> — domestic economic entities classified in the system of national accounts into non-financial corporations, financial corporations or households sector; excluding private</w:t>
            </w:r>
            <w:r w:rsidR="00D63E53">
              <w:rPr>
                <w:rFonts w:ascii="Arial" w:hAnsi="Arial" w:cs="Arial"/>
                <w:bCs/>
                <w:iCs/>
                <w:color w:val="595959" w:themeColor="text1" w:themeTint="A6"/>
                <w:sz w:val="16"/>
                <w:szCs w:val="16"/>
                <w:lang w:val="en-GB"/>
              </w:rPr>
              <w:t xml:space="preserve"> institutions included in</w:t>
            </w:r>
            <w:r w:rsidRPr="00982E61">
              <w:rPr>
                <w:rFonts w:ascii="Arial" w:hAnsi="Arial" w:cs="Arial"/>
                <w:bCs/>
                <w:iCs/>
                <w:color w:val="595959" w:themeColor="text1" w:themeTint="A6"/>
                <w:sz w:val="16"/>
                <w:szCs w:val="16"/>
                <w:lang w:val="en-GB"/>
              </w:rPr>
              <w:t xml:space="preserve"> higher education sector; </w:t>
            </w:r>
          </w:p>
          <w:p w:rsidR="00982E61" w:rsidRPr="00982E61" w:rsidRDefault="00982E61" w:rsidP="00AD07B9">
            <w:pPr>
              <w:pStyle w:val="Akapitzlist"/>
              <w:numPr>
                <w:ilvl w:val="1"/>
                <w:numId w:val="7"/>
              </w:numPr>
              <w:spacing w:before="20" w:after="0" w:line="182" w:lineRule="exact"/>
              <w:ind w:left="227" w:right="11" w:hanging="227"/>
              <w:contextualSpacing w:val="0"/>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higher education sector</w:t>
            </w:r>
            <w:r w:rsidRPr="00982E61">
              <w:rPr>
                <w:rFonts w:ascii="Arial" w:hAnsi="Arial" w:cs="Arial"/>
                <w:bCs/>
                <w:iCs/>
                <w:color w:val="595959" w:themeColor="text1" w:themeTint="A6"/>
                <w:sz w:val="16"/>
                <w:szCs w:val="16"/>
                <w:lang w:val="en-GB"/>
              </w:rPr>
              <w:t xml:space="preserve"> — domestic universities and other institutions providing formal tertiary education programmes: public and private (including the ones of religious organisations) and institutes, research centres or clinics supervised by them. Since 2016 this sector has included also scientific institutes of the Polish Academy of Sciences and research institutes running doctoral studies; </w:t>
            </w:r>
          </w:p>
          <w:p w:rsidR="00982E61" w:rsidRPr="00982E61" w:rsidRDefault="00982E61" w:rsidP="00AD07B9">
            <w:pPr>
              <w:pStyle w:val="Akapitzlist"/>
              <w:numPr>
                <w:ilvl w:val="1"/>
                <w:numId w:val="7"/>
              </w:numPr>
              <w:spacing w:before="20" w:after="0" w:line="182" w:lineRule="exact"/>
              <w:ind w:left="227" w:right="11" w:hanging="227"/>
              <w:contextualSpacing w:val="0"/>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private non-profit sector</w:t>
            </w:r>
            <w:r w:rsidRPr="00982E61">
              <w:rPr>
                <w:rFonts w:ascii="Arial" w:hAnsi="Arial" w:cs="Arial"/>
                <w:bCs/>
                <w:iCs/>
                <w:color w:val="595959" w:themeColor="text1" w:themeTint="A6"/>
                <w:sz w:val="16"/>
                <w:szCs w:val="16"/>
                <w:lang w:val="en-GB"/>
              </w:rPr>
              <w:t xml:space="preserve"> — domestic entities classified in the system of national accounts into non-profit institutions serving households sector; excluding those classified in R&amp;D statistics into the higher education sector (e.g. higher education institutions of religious organisations); </w:t>
            </w:r>
          </w:p>
          <w:p w:rsidR="00982E61" w:rsidRPr="00982E61" w:rsidRDefault="00982E61" w:rsidP="00AD07B9">
            <w:pPr>
              <w:pStyle w:val="Akapitzlist"/>
              <w:numPr>
                <w:ilvl w:val="1"/>
                <w:numId w:val="7"/>
              </w:numPr>
              <w:spacing w:before="20" w:after="0" w:line="182" w:lineRule="exact"/>
              <w:ind w:left="227" w:right="11" w:hanging="227"/>
              <w:contextualSpacing w:val="0"/>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rest of the world</w:t>
            </w:r>
            <w:r w:rsidRPr="00982E61">
              <w:rPr>
                <w:rFonts w:ascii="Arial" w:hAnsi="Arial" w:cs="Arial"/>
                <w:bCs/>
                <w:iCs/>
                <w:color w:val="595959" w:themeColor="text1" w:themeTint="A6"/>
                <w:sz w:val="16"/>
                <w:szCs w:val="16"/>
                <w:lang w:val="en-GB"/>
              </w:rPr>
              <w:t xml:space="preserve"> — only distinguished among financing sectors; covers non-resident units carrying out transactions with resident institutional units or units which have other economic connections with residents; also European </w:t>
            </w:r>
            <w:r w:rsidR="00AD07B9">
              <w:rPr>
                <w:rFonts w:ascii="Arial" w:hAnsi="Arial" w:cs="Arial"/>
                <w:bCs/>
                <w:iCs/>
                <w:color w:val="595959" w:themeColor="text1" w:themeTint="A6"/>
                <w:sz w:val="16"/>
                <w:szCs w:val="16"/>
                <w:lang w:val="en-GB"/>
              </w:rPr>
              <w:br/>
            </w:r>
            <w:r w:rsidRPr="00982E61">
              <w:rPr>
                <w:rFonts w:ascii="Arial" w:hAnsi="Arial" w:cs="Arial"/>
                <w:bCs/>
                <w:iCs/>
                <w:color w:val="595959" w:themeColor="text1" w:themeTint="A6"/>
                <w:sz w:val="16"/>
                <w:szCs w:val="16"/>
                <w:lang w:val="en-GB"/>
              </w:rPr>
              <w:lastRenderedPageBreak/>
              <w:t>Union institutions and bodies as well as international and transnational organisations are included in this sector.</w:t>
            </w:r>
          </w:p>
          <w:p w:rsidR="00982E61" w:rsidRPr="00982E61" w:rsidRDefault="00982E61" w:rsidP="002177C6">
            <w:pPr>
              <w:tabs>
                <w:tab w:val="left" w:pos="340"/>
              </w:tabs>
              <w:spacing w:before="40" w:line="180" w:lineRule="exact"/>
              <w:ind w:right="11" w:firstLine="113"/>
              <w:jc w:val="both"/>
              <w:rPr>
                <w:rFonts w:ascii="Arial" w:hAnsi="Arial" w:cs="Arial"/>
                <w:iCs/>
                <w:color w:val="595959" w:themeColor="text1" w:themeTint="A6"/>
                <w:sz w:val="16"/>
                <w:szCs w:val="16"/>
                <w:lang w:val="en-GB"/>
              </w:rPr>
            </w:pPr>
            <w:r w:rsidRPr="00982E61">
              <w:rPr>
                <w:rFonts w:ascii="Arial" w:hAnsi="Arial" w:cs="Arial"/>
                <w:b/>
                <w:bCs/>
                <w:iCs/>
                <w:color w:val="595959" w:themeColor="text1" w:themeTint="A6"/>
                <w:sz w:val="16"/>
                <w:szCs w:val="16"/>
                <w:lang w:val="en-GB"/>
              </w:rPr>
              <w:t>6. </w:t>
            </w:r>
            <w:r w:rsidRPr="00982E61">
              <w:rPr>
                <w:rFonts w:ascii="Arial" w:hAnsi="Arial" w:cs="Arial"/>
                <w:bCs/>
                <w:iCs/>
                <w:color w:val="595959" w:themeColor="text1" w:themeTint="A6"/>
                <w:sz w:val="16"/>
                <w:szCs w:val="16"/>
                <w:lang w:val="en-GB"/>
              </w:rPr>
              <w:t>Six</w:t>
            </w:r>
            <w:r w:rsidRPr="00982E61">
              <w:rPr>
                <w:rFonts w:ascii="Arial" w:hAnsi="Arial" w:cs="Arial"/>
                <w:iCs/>
                <w:color w:val="595959" w:themeColor="text1" w:themeTint="A6"/>
                <w:sz w:val="16"/>
                <w:szCs w:val="16"/>
                <w:lang w:val="en-GB"/>
              </w:rPr>
              <w:t xml:space="preserve"> main</w:t>
            </w:r>
            <w:r w:rsidRPr="00982E61">
              <w:rPr>
                <w:rFonts w:ascii="Arial" w:hAnsi="Arial" w:cs="Arial"/>
                <w:color w:val="595959" w:themeColor="text1" w:themeTint="A6"/>
                <w:sz w:val="16"/>
                <w:szCs w:val="16"/>
                <w:lang w:val="en-GB"/>
              </w:rPr>
              <w:t xml:space="preserve"> </w:t>
            </w:r>
            <w:r w:rsidRPr="00982E61">
              <w:rPr>
                <w:rFonts w:ascii="Arial" w:hAnsi="Arial" w:cs="Arial"/>
                <w:iCs/>
                <w:color w:val="595959" w:themeColor="text1" w:themeTint="A6"/>
                <w:sz w:val="16"/>
                <w:szCs w:val="16"/>
                <w:lang w:val="en-GB"/>
              </w:rPr>
              <w:t>fields</w:t>
            </w:r>
            <w:r w:rsidRPr="00982E61">
              <w:rPr>
                <w:rFonts w:ascii="Arial" w:hAnsi="Arial" w:cs="Arial"/>
                <w:color w:val="595959" w:themeColor="text1" w:themeTint="A6"/>
                <w:sz w:val="16"/>
                <w:szCs w:val="16"/>
                <w:lang w:val="en-GB"/>
              </w:rPr>
              <w:t xml:space="preserve"> of R&amp;D</w:t>
            </w:r>
            <w:r w:rsidRPr="00982E61">
              <w:rPr>
                <w:rFonts w:ascii="Arial" w:hAnsi="Arial" w:cs="Arial"/>
                <w:iCs/>
                <w:color w:val="595959" w:themeColor="text1" w:themeTint="A6"/>
                <w:sz w:val="16"/>
                <w:szCs w:val="16"/>
                <w:lang w:val="en-GB"/>
              </w:rPr>
              <w:t xml:space="preserve"> were listed in the chapter tables according to the fields of research and development classification of OECD, i.e. natural sciences, engineering and technology, medical and health sciences, agricultural and veterinary sciences, social sciences as well as humanities including the arts.</w:t>
            </w:r>
          </w:p>
          <w:p w:rsidR="00982E61" w:rsidRDefault="00982E61" w:rsidP="002177C6">
            <w:pPr>
              <w:tabs>
                <w:tab w:val="left" w:pos="340"/>
              </w:tabs>
              <w:spacing w:before="30" w:line="176" w:lineRule="exact"/>
              <w:ind w:right="11" w:firstLine="113"/>
              <w:jc w:val="both"/>
              <w:rPr>
                <w:rFonts w:ascii="Arial" w:hAnsi="Arial" w:cs="Arial"/>
                <w:bCs/>
                <w:iCs/>
                <w:color w:val="595959" w:themeColor="text1" w:themeTint="A6"/>
                <w:sz w:val="16"/>
                <w:szCs w:val="16"/>
                <w:lang w:val="en-GB"/>
              </w:rPr>
            </w:pPr>
            <w:r w:rsidRPr="00982E61">
              <w:rPr>
                <w:rFonts w:ascii="Arial" w:hAnsi="Arial" w:cs="Arial"/>
                <w:b/>
                <w:bCs/>
                <w:iCs/>
                <w:color w:val="595959" w:themeColor="text1" w:themeTint="A6"/>
                <w:sz w:val="16"/>
                <w:szCs w:val="16"/>
                <w:lang w:val="en-GB"/>
              </w:rPr>
              <w:t xml:space="preserve">7. Innovation activity </w:t>
            </w:r>
            <w:r w:rsidRPr="00982E61">
              <w:rPr>
                <w:rFonts w:ascii="Arial" w:hAnsi="Arial" w:cs="Arial"/>
                <w:bCs/>
                <w:iCs/>
                <w:color w:val="595959" w:themeColor="text1" w:themeTint="A6"/>
                <w:sz w:val="16"/>
                <w:szCs w:val="16"/>
                <w:lang w:val="en-GB"/>
              </w:rPr>
              <w:t>includes all developmental, financial and commercial activities undertaken intentionally by the enterprise to result in an innovation. Data presented in the chapter include innovation activity in industry and concern the development and introduction on the market of new or improved products (goods, services)</w:t>
            </w:r>
            <w:r w:rsidR="00934E36">
              <w:rPr>
                <w:rFonts w:ascii="Arial" w:hAnsi="Arial" w:cs="Arial"/>
                <w:bCs/>
                <w:iCs/>
                <w:color w:val="595959" w:themeColor="text1" w:themeTint="A6"/>
                <w:sz w:val="16"/>
                <w:szCs w:val="16"/>
                <w:lang w:val="en-GB"/>
              </w:rPr>
              <w:t xml:space="preserve"> </w:t>
            </w:r>
            <w:r w:rsidRPr="00982E61">
              <w:rPr>
                <w:rFonts w:ascii="Arial" w:hAnsi="Arial" w:cs="Arial"/>
                <w:bCs/>
                <w:iCs/>
                <w:color w:val="595959" w:themeColor="text1" w:themeTint="A6"/>
                <w:sz w:val="16"/>
                <w:szCs w:val="16"/>
                <w:lang w:val="en-GB"/>
              </w:rPr>
              <w:t xml:space="preserve">— </w:t>
            </w:r>
            <w:r w:rsidRPr="00982E61">
              <w:rPr>
                <w:rFonts w:ascii="Arial" w:hAnsi="Arial" w:cs="Arial"/>
                <w:b/>
                <w:bCs/>
                <w:iCs/>
                <w:color w:val="595959" w:themeColor="text1" w:themeTint="A6"/>
                <w:sz w:val="16"/>
                <w:szCs w:val="16"/>
                <w:lang w:val="en-GB"/>
              </w:rPr>
              <w:t>product innovation</w:t>
            </w:r>
            <w:r w:rsidR="00934E36">
              <w:rPr>
                <w:rFonts w:ascii="Arial" w:hAnsi="Arial" w:cs="Arial"/>
                <w:bCs/>
                <w:iCs/>
                <w:color w:val="595959" w:themeColor="text1" w:themeTint="A6"/>
                <w:sz w:val="16"/>
                <w:szCs w:val="16"/>
                <w:lang w:val="en-GB"/>
              </w:rPr>
              <w:t xml:space="preserve"> and </w:t>
            </w:r>
            <w:r w:rsidRPr="00982E61">
              <w:rPr>
                <w:rFonts w:ascii="Arial" w:hAnsi="Arial" w:cs="Arial"/>
                <w:bCs/>
                <w:iCs/>
                <w:color w:val="595959" w:themeColor="text1" w:themeTint="A6"/>
                <w:sz w:val="16"/>
                <w:szCs w:val="16"/>
                <w:lang w:val="en-GB"/>
              </w:rPr>
              <w:t xml:space="preserve">bringing into use in the enterprise new or improved business processes — </w:t>
            </w:r>
            <w:r w:rsidRPr="00982E61">
              <w:rPr>
                <w:rFonts w:ascii="Arial" w:hAnsi="Arial" w:cs="Arial"/>
                <w:b/>
                <w:bCs/>
                <w:iCs/>
                <w:color w:val="595959" w:themeColor="text1" w:themeTint="A6"/>
                <w:sz w:val="16"/>
                <w:szCs w:val="16"/>
                <w:lang w:val="en-GB"/>
              </w:rPr>
              <w:t>business process innovation</w:t>
            </w:r>
            <w:r w:rsidRPr="00982E61">
              <w:rPr>
                <w:rFonts w:ascii="Arial" w:hAnsi="Arial" w:cs="Arial"/>
                <w:bCs/>
                <w:iCs/>
                <w:color w:val="595959" w:themeColor="text1" w:themeTint="A6"/>
                <w:sz w:val="16"/>
                <w:szCs w:val="16"/>
                <w:lang w:val="en-GB"/>
              </w:rPr>
              <w:t>.</w:t>
            </w:r>
          </w:p>
          <w:p w:rsidR="00934E36" w:rsidRPr="0018651F" w:rsidRDefault="00934E36" w:rsidP="002177C6">
            <w:pPr>
              <w:pStyle w:val="Opis1ang"/>
              <w:spacing w:before="0"/>
              <w:ind w:firstLine="170"/>
              <w:rPr>
                <w:iCs/>
                <w:color w:val="595959" w:themeColor="text1" w:themeTint="A6"/>
                <w:lang w:val="en-US"/>
              </w:rPr>
            </w:pPr>
            <w:r w:rsidRPr="0018651F">
              <w:rPr>
                <w:b/>
                <w:color w:val="595959" w:themeColor="text1" w:themeTint="A6"/>
              </w:rPr>
              <w:t>Product innovation</w:t>
            </w:r>
            <w:r w:rsidRPr="0018651F">
              <w:rPr>
                <w:color w:val="595959" w:themeColor="text1" w:themeTint="A6"/>
              </w:rPr>
              <w:t xml:space="preserve"> is the introduction of a</w:t>
            </w:r>
            <w:r w:rsidR="003F7D0B">
              <w:rPr>
                <w:color w:val="595959" w:themeColor="text1" w:themeTint="A6"/>
              </w:rPr>
              <w:t> </w:t>
            </w:r>
            <w:r w:rsidRPr="0018651F">
              <w:rPr>
                <w:iCs/>
                <w:color w:val="595959" w:themeColor="text1" w:themeTint="A6"/>
                <w:lang w:val="en-US"/>
              </w:rPr>
              <w:t>new or improved</w:t>
            </w:r>
            <w:r w:rsidRPr="0018651F">
              <w:rPr>
                <w:color w:val="595959" w:themeColor="text1" w:themeTint="A6"/>
              </w:rPr>
              <w:t xml:space="preserve"> good or service that </w:t>
            </w:r>
            <w:r w:rsidRPr="0018651F">
              <w:rPr>
                <w:iCs/>
                <w:color w:val="595959" w:themeColor="text1" w:themeTint="A6"/>
                <w:lang w:val="en-US"/>
              </w:rPr>
              <w:t>that differs significantly from the enterprise’s previous goods or services.</w:t>
            </w:r>
          </w:p>
          <w:p w:rsidR="00934E36" w:rsidRPr="0018651F" w:rsidRDefault="00934E36" w:rsidP="002177C6">
            <w:pPr>
              <w:widowControl w:val="0"/>
              <w:autoSpaceDE w:val="0"/>
              <w:autoSpaceDN w:val="0"/>
              <w:adjustRightInd w:val="0"/>
              <w:spacing w:line="180" w:lineRule="atLeast"/>
              <w:ind w:firstLine="170"/>
              <w:jc w:val="both"/>
              <w:textAlignment w:val="center"/>
              <w:rPr>
                <w:iCs/>
                <w:color w:val="595959" w:themeColor="text1" w:themeTint="A6"/>
                <w:lang w:val="en-US"/>
              </w:rPr>
            </w:pPr>
            <w:r w:rsidRPr="0018651F">
              <w:rPr>
                <w:rFonts w:ascii="Arial" w:hAnsi="Arial" w:cs="Arial"/>
                <w:b/>
                <w:iCs/>
                <w:color w:val="595959" w:themeColor="text1" w:themeTint="A6"/>
                <w:sz w:val="16"/>
                <w:szCs w:val="16"/>
                <w:lang w:val="en-US"/>
              </w:rPr>
              <w:t>B</w:t>
            </w:r>
            <w:r w:rsidRPr="0018651F">
              <w:rPr>
                <w:rFonts w:ascii="Arial" w:hAnsi="Arial" w:cs="Arial"/>
                <w:b/>
                <w:bCs/>
                <w:iCs/>
                <w:color w:val="595959" w:themeColor="text1" w:themeTint="A6"/>
                <w:sz w:val="16"/>
                <w:szCs w:val="16"/>
                <w:lang w:val="en-US"/>
              </w:rPr>
              <w:t>usiness process innovation</w:t>
            </w:r>
            <w:r w:rsidRPr="0018651F">
              <w:rPr>
                <w:rFonts w:ascii="Arial" w:hAnsi="Arial" w:cs="Arial"/>
                <w:bCs/>
                <w:iCs/>
                <w:color w:val="595959" w:themeColor="text1" w:themeTint="A6"/>
                <w:sz w:val="16"/>
                <w:szCs w:val="16"/>
                <w:lang w:val="en-US"/>
              </w:rPr>
              <w:t xml:space="preserve"> </w:t>
            </w:r>
            <w:r w:rsidRPr="0018651F">
              <w:rPr>
                <w:rFonts w:ascii="Arial" w:hAnsi="Arial" w:cs="Arial"/>
                <w:iCs/>
                <w:color w:val="595959" w:themeColor="text1" w:themeTint="A6"/>
                <w:sz w:val="16"/>
                <w:szCs w:val="16"/>
                <w:lang w:val="en-US"/>
              </w:rPr>
              <w:t>is a new or improved business process for one or more business functions that differs significantly from the firm’s previous business processes and that has been brought into use in the enterprise.</w:t>
            </w:r>
          </w:p>
          <w:p w:rsidR="00982E61" w:rsidRPr="00982E61" w:rsidRDefault="00982E61" w:rsidP="002177C6">
            <w:pPr>
              <w:widowControl w:val="0"/>
              <w:autoSpaceDE w:val="0"/>
              <w:autoSpaceDN w:val="0"/>
              <w:adjustRightInd w:val="0"/>
              <w:spacing w:line="180" w:lineRule="atLeast"/>
              <w:ind w:firstLine="170"/>
              <w:jc w:val="both"/>
              <w:textAlignment w:val="center"/>
              <w:rPr>
                <w:rFonts w:ascii="Arial" w:hAnsi="Arial" w:cs="Arial"/>
                <w:iCs/>
                <w:color w:val="595959" w:themeColor="text1" w:themeTint="A6"/>
                <w:sz w:val="16"/>
                <w:szCs w:val="16"/>
                <w:lang w:val="en-GB"/>
              </w:rPr>
            </w:pPr>
            <w:r w:rsidRPr="00982E61">
              <w:rPr>
                <w:rFonts w:ascii="Arial" w:hAnsi="Arial" w:cs="Arial"/>
                <w:b/>
                <w:bCs/>
                <w:iCs/>
                <w:color w:val="595959" w:themeColor="text1" w:themeTint="A6"/>
                <w:sz w:val="16"/>
                <w:szCs w:val="16"/>
                <w:lang w:val="en-GB"/>
              </w:rPr>
              <w:t xml:space="preserve">Expenditures on innovation </w:t>
            </w:r>
            <w:r w:rsidRPr="00982E61">
              <w:rPr>
                <w:rFonts w:ascii="Arial" w:hAnsi="Arial" w:cs="Arial"/>
                <w:color w:val="595959" w:themeColor="text1" w:themeTint="A6"/>
                <w:sz w:val="16"/>
                <w:szCs w:val="16"/>
                <w:lang w:val="en-GB"/>
              </w:rPr>
              <w:t xml:space="preserve">activity </w:t>
            </w:r>
            <w:r w:rsidRPr="00982E61">
              <w:rPr>
                <w:rFonts w:ascii="Arial" w:hAnsi="Arial" w:cs="Arial"/>
                <w:iCs/>
                <w:color w:val="595959" w:themeColor="text1" w:themeTint="A6"/>
                <w:sz w:val="16"/>
                <w:szCs w:val="16"/>
                <w:lang w:val="en-GB"/>
              </w:rPr>
              <w:t xml:space="preserve">include expenditures on: </w:t>
            </w:r>
            <w:r w:rsidR="00934E36" w:rsidRPr="00934E36">
              <w:rPr>
                <w:rFonts w:ascii="Arial" w:hAnsi="Arial" w:cs="Arial"/>
                <w:iCs/>
                <w:color w:val="595959" w:themeColor="text1" w:themeTint="A6"/>
                <w:sz w:val="16"/>
                <w:szCs w:val="16"/>
                <w:lang w:val="en-GB"/>
              </w:rPr>
              <w:t>R&amp;D, own personnel working on innovation, services, materials and supplies purchased from other parties for innovation, capital expenditures on tangible and intangible  assets (including acquisition and development of software and intellectual property rights) and other preparations for introducing innovation (including product/service design, preparation of production/distribution for innovation activities, training and professional development for innovation activities, marketing of innovations).</w:t>
            </w:r>
          </w:p>
          <w:p w:rsidR="002177C6" w:rsidRDefault="00934E36" w:rsidP="00B57B70">
            <w:pPr>
              <w:spacing w:before="40" w:line="180" w:lineRule="exact"/>
              <w:ind w:right="11" w:firstLine="170"/>
              <w:jc w:val="both"/>
              <w:rPr>
                <w:rFonts w:ascii="Arial" w:hAnsi="Arial" w:cs="Arial"/>
                <w:color w:val="595959" w:themeColor="text1" w:themeTint="A6"/>
                <w:sz w:val="16"/>
                <w:szCs w:val="16"/>
                <w:lang w:val="en-US"/>
              </w:rPr>
            </w:pPr>
            <w:r w:rsidRPr="0018651F">
              <w:rPr>
                <w:rFonts w:ascii="Arial" w:hAnsi="Arial" w:cs="Arial"/>
                <w:b/>
                <w:bCs/>
                <w:iCs/>
                <w:color w:val="595959" w:themeColor="text1" w:themeTint="A6"/>
                <w:sz w:val="16"/>
                <w:szCs w:val="16"/>
                <w:lang w:val="en-US"/>
              </w:rPr>
              <w:t xml:space="preserve">New or improved product </w:t>
            </w:r>
            <w:r w:rsidRPr="0018651F">
              <w:rPr>
                <w:rFonts w:ascii="Arial" w:hAnsi="Arial" w:cs="Arial"/>
                <w:iCs/>
                <w:color w:val="595959" w:themeColor="text1" w:themeTint="A6"/>
                <w:sz w:val="16"/>
                <w:szCs w:val="16"/>
                <w:lang w:val="en-US"/>
              </w:rPr>
              <w:t xml:space="preserve">is a new or improved good or service that differs significantly from the enterprise’s previous goods or services with </w:t>
            </w:r>
            <w:r w:rsidRPr="0018651F">
              <w:rPr>
                <w:rFonts w:ascii="Arial" w:hAnsi="Arial" w:cs="Arial"/>
                <w:color w:val="595959" w:themeColor="text1" w:themeTint="A6"/>
                <w:sz w:val="16"/>
                <w:szCs w:val="16"/>
                <w:lang w:val="en-US"/>
              </w:rPr>
              <w:t>one or more characteristics or performance specifications. This includes the addition of new functions, or improvements to existing functions or user utility. Relevant functional characteristics include quality, technical specifications, reliability, durability, economic efficiency during use, affordability, convenience, usability, and user friendliness.</w:t>
            </w:r>
          </w:p>
          <w:p w:rsidR="00982E61" w:rsidRPr="00982E61" w:rsidRDefault="00982E61" w:rsidP="00B57B70">
            <w:pPr>
              <w:spacing w:before="40" w:line="180" w:lineRule="exact"/>
              <w:ind w:right="11" w:firstLine="170"/>
              <w:jc w:val="both"/>
              <w:rPr>
                <w:rFonts w:ascii="Arial" w:hAnsi="Arial" w:cs="Arial"/>
                <w:iCs/>
                <w:color w:val="595959" w:themeColor="text1" w:themeTint="A6"/>
                <w:sz w:val="16"/>
                <w:szCs w:val="16"/>
                <w:lang w:val="en-GB"/>
              </w:rPr>
            </w:pPr>
            <w:r w:rsidRPr="00982E61">
              <w:rPr>
                <w:rFonts w:ascii="Arial" w:hAnsi="Arial" w:cs="Arial"/>
                <w:b/>
                <w:bCs/>
                <w:iCs/>
                <w:color w:val="595959" w:themeColor="text1" w:themeTint="A6"/>
                <w:sz w:val="16"/>
                <w:szCs w:val="16"/>
                <w:lang w:val="en-GB"/>
              </w:rPr>
              <w:t>8. </w:t>
            </w:r>
            <w:r w:rsidRPr="00982E61">
              <w:rPr>
                <w:rFonts w:ascii="Arial" w:hAnsi="Arial" w:cs="Arial"/>
                <w:iCs/>
                <w:color w:val="595959" w:themeColor="text1" w:themeTint="A6"/>
                <w:sz w:val="16"/>
                <w:szCs w:val="16"/>
                <w:lang w:val="en-GB"/>
              </w:rPr>
              <w:t xml:space="preserve">A </w:t>
            </w:r>
            <w:r w:rsidRPr="00982E61">
              <w:rPr>
                <w:rFonts w:ascii="Arial" w:hAnsi="Arial" w:cs="Arial"/>
                <w:b/>
                <w:bCs/>
                <w:iCs/>
                <w:color w:val="595959" w:themeColor="text1" w:themeTint="A6"/>
                <w:sz w:val="16"/>
                <w:szCs w:val="16"/>
                <w:lang w:val="en-GB"/>
              </w:rPr>
              <w:t xml:space="preserve">patentable invention </w:t>
            </w:r>
            <w:r w:rsidRPr="00982E61">
              <w:rPr>
                <w:rFonts w:ascii="Arial" w:hAnsi="Arial" w:cs="Arial"/>
                <w:iCs/>
                <w:color w:val="595959" w:themeColor="text1" w:themeTint="A6"/>
                <w:sz w:val="16"/>
                <w:szCs w:val="16"/>
                <w:lang w:val="en-GB"/>
              </w:rPr>
              <w:t>— regardless of the field of technology — is any new solution which involves an inventive step, i.e. which for an expert does not obviously result from the state of the art and which is capable of industrial application.</w:t>
            </w:r>
          </w:p>
          <w:p w:rsidR="00982E61" w:rsidRPr="00982E61" w:rsidRDefault="00982E61" w:rsidP="002177C6">
            <w:pPr>
              <w:spacing w:before="40" w:line="180" w:lineRule="exact"/>
              <w:ind w:firstLine="113"/>
              <w:jc w:val="both"/>
              <w:rPr>
                <w:rFonts w:ascii="Arial" w:hAnsi="Arial" w:cs="Arial"/>
                <w:iCs/>
                <w:color w:val="595959" w:themeColor="text1" w:themeTint="A6"/>
                <w:sz w:val="16"/>
                <w:szCs w:val="16"/>
                <w:lang w:val="en-GB"/>
              </w:rPr>
            </w:pPr>
            <w:r w:rsidRPr="00982E61">
              <w:rPr>
                <w:rFonts w:ascii="Arial" w:hAnsi="Arial" w:cs="Arial"/>
                <w:b/>
                <w:bCs/>
                <w:iCs/>
                <w:color w:val="595959" w:themeColor="text1" w:themeTint="A6"/>
                <w:sz w:val="16"/>
                <w:szCs w:val="16"/>
                <w:lang w:val="en-GB"/>
              </w:rPr>
              <w:t>9. </w:t>
            </w:r>
            <w:r w:rsidRPr="00982E61">
              <w:rPr>
                <w:rFonts w:ascii="Arial" w:hAnsi="Arial" w:cs="Arial"/>
                <w:iCs/>
                <w:color w:val="595959" w:themeColor="text1" w:themeTint="A6"/>
                <w:sz w:val="16"/>
                <w:szCs w:val="16"/>
                <w:lang w:val="en-GB"/>
              </w:rPr>
              <w:t xml:space="preserve">A </w:t>
            </w:r>
            <w:r w:rsidRPr="00982E61">
              <w:rPr>
                <w:rFonts w:ascii="Arial" w:hAnsi="Arial" w:cs="Arial"/>
                <w:b/>
                <w:bCs/>
                <w:iCs/>
                <w:color w:val="595959" w:themeColor="text1" w:themeTint="A6"/>
                <w:sz w:val="16"/>
                <w:szCs w:val="16"/>
                <w:lang w:val="en-GB"/>
              </w:rPr>
              <w:t xml:space="preserve">utility model eligible for protection </w:t>
            </w:r>
            <w:r w:rsidRPr="00982E61">
              <w:rPr>
                <w:rFonts w:ascii="Arial" w:hAnsi="Arial" w:cs="Arial"/>
                <w:iCs/>
                <w:color w:val="595959" w:themeColor="text1" w:themeTint="A6"/>
                <w:sz w:val="16"/>
                <w:szCs w:val="16"/>
                <w:lang w:val="en-GB"/>
              </w:rPr>
              <w:t xml:space="preserve">— </w:t>
            </w:r>
            <w:r w:rsidRPr="00982E61">
              <w:rPr>
                <w:rFonts w:ascii="Arial" w:hAnsi="Arial" w:cs="Arial"/>
                <w:iCs/>
                <w:color w:val="595959" w:themeColor="text1" w:themeTint="A6"/>
                <w:sz w:val="16"/>
                <w:szCs w:val="16"/>
                <w:lang w:val="en-GB"/>
              </w:rPr>
              <w:br/>
              <w:t>a new and useful solution of a technical character related to the shape, structure or assembly of an object of permanent form.</w:t>
            </w:r>
          </w:p>
          <w:p w:rsidR="00982E61" w:rsidRDefault="00982E61" w:rsidP="00982E61">
            <w:pPr>
              <w:spacing w:line="212" w:lineRule="exact"/>
              <w:ind w:right="-23"/>
              <w:rPr>
                <w:rFonts w:ascii="Arial" w:eastAsia="Arial" w:hAnsi="Arial" w:cs="Arial"/>
                <w:b/>
                <w:color w:val="595959" w:themeColor="text1" w:themeTint="A6"/>
                <w:w w:val="110"/>
                <w:sz w:val="18"/>
                <w:szCs w:val="18"/>
                <w:lang w:val="en-US"/>
              </w:rPr>
            </w:pPr>
          </w:p>
          <w:p w:rsidR="00982E61" w:rsidRPr="00486D9F" w:rsidRDefault="004F0484" w:rsidP="004F0484">
            <w:pPr>
              <w:spacing w:line="212" w:lineRule="exact"/>
              <w:ind w:right="-23"/>
              <w:rPr>
                <w:rFonts w:ascii="Arial" w:eastAsia="Arial" w:hAnsi="Arial" w:cs="Arial"/>
                <w:b/>
                <w:color w:val="595959" w:themeColor="text1" w:themeTint="A6"/>
                <w:sz w:val="18"/>
                <w:szCs w:val="18"/>
                <w:lang w:val="en-US"/>
              </w:rPr>
            </w:pPr>
            <w:r>
              <w:rPr>
                <w:rFonts w:ascii="Arial" w:eastAsia="Arial" w:hAnsi="Arial" w:cs="Arial"/>
                <w:b/>
                <w:color w:val="595959" w:themeColor="text1" w:themeTint="A6"/>
                <w:w w:val="110"/>
                <w:sz w:val="18"/>
                <w:szCs w:val="18"/>
                <w:lang w:val="en-US"/>
              </w:rPr>
              <w:lastRenderedPageBreak/>
              <w:t>I</w:t>
            </w:r>
            <w:r w:rsidR="00982E61" w:rsidRPr="00486D9F">
              <w:rPr>
                <w:rFonts w:ascii="Arial" w:eastAsia="Arial" w:hAnsi="Arial" w:cs="Arial"/>
                <w:b/>
                <w:color w:val="595959" w:themeColor="text1" w:themeTint="A6"/>
                <w:w w:val="110"/>
                <w:sz w:val="18"/>
                <w:szCs w:val="18"/>
                <w:lang w:val="en-US"/>
              </w:rPr>
              <w:t>nformation</w:t>
            </w:r>
            <w:r w:rsidR="00982E61" w:rsidRPr="00486D9F">
              <w:rPr>
                <w:rFonts w:ascii="Arial" w:eastAsia="Arial" w:hAnsi="Arial" w:cs="Arial"/>
                <w:b/>
                <w:color w:val="595959" w:themeColor="text1" w:themeTint="A6"/>
                <w:spacing w:val="14"/>
                <w:w w:val="110"/>
                <w:sz w:val="18"/>
                <w:szCs w:val="18"/>
                <w:lang w:val="en-US"/>
              </w:rPr>
              <w:t xml:space="preserve"> </w:t>
            </w:r>
            <w:r w:rsidR="00982E61" w:rsidRPr="00486D9F">
              <w:rPr>
                <w:rFonts w:ascii="Arial" w:eastAsia="Arial" w:hAnsi="Arial" w:cs="Arial"/>
                <w:b/>
                <w:color w:val="595959" w:themeColor="text1" w:themeTint="A6"/>
                <w:w w:val="110"/>
                <w:sz w:val="18"/>
                <w:szCs w:val="18"/>
                <w:lang w:val="en-US"/>
              </w:rPr>
              <w:t>society</w:t>
            </w:r>
          </w:p>
          <w:p w:rsidR="00982E61" w:rsidRDefault="00982E61" w:rsidP="00FE3D8F">
            <w:pPr>
              <w:pStyle w:val="poa"/>
              <w:spacing w:before="20" w:line="226" w:lineRule="auto"/>
              <w:ind w:left="0" w:right="11" w:firstLine="0"/>
              <w:rPr>
                <w:rFonts w:cs="Arial"/>
                <w:color w:val="595959" w:themeColor="text1" w:themeTint="A6"/>
                <w:szCs w:val="16"/>
                <w:lang w:val="en-GB"/>
              </w:rPr>
            </w:pPr>
          </w:p>
          <w:p w:rsidR="00982E61" w:rsidRPr="00FE3D8F" w:rsidRDefault="00982E61" w:rsidP="004F48DE">
            <w:pPr>
              <w:tabs>
                <w:tab w:val="left" w:pos="340"/>
              </w:tabs>
              <w:spacing w:before="40"/>
              <w:ind w:firstLine="113"/>
              <w:jc w:val="both"/>
              <w:rPr>
                <w:rFonts w:ascii="Arial" w:hAnsi="Arial" w:cs="Arial"/>
                <w:iCs/>
                <w:color w:val="595959" w:themeColor="text1" w:themeTint="A6"/>
                <w:sz w:val="16"/>
                <w:szCs w:val="16"/>
                <w:lang w:val="en-GB"/>
              </w:rPr>
            </w:pPr>
            <w:r w:rsidRPr="00FE3D8F">
              <w:rPr>
                <w:rFonts w:ascii="Arial" w:hAnsi="Arial" w:cs="Arial"/>
                <w:b/>
                <w:bCs/>
                <w:iCs/>
                <w:color w:val="595959" w:themeColor="text1" w:themeTint="A6"/>
                <w:sz w:val="16"/>
                <w:szCs w:val="16"/>
                <w:lang w:val="en-GB"/>
              </w:rPr>
              <w:t>1. </w:t>
            </w:r>
            <w:r w:rsidRPr="00FE3D8F">
              <w:rPr>
                <w:rFonts w:ascii="Arial" w:hAnsi="Arial" w:cs="Arial"/>
                <w:iCs/>
                <w:color w:val="595959" w:themeColor="text1" w:themeTint="A6"/>
                <w:sz w:val="16"/>
                <w:szCs w:val="16"/>
                <w:lang w:val="en-GB"/>
              </w:rPr>
              <w:t>The information presented has been compiled</w:t>
            </w:r>
            <w:r w:rsidR="00F008EB">
              <w:rPr>
                <w:rFonts w:ascii="Arial" w:hAnsi="Arial" w:cs="Arial"/>
                <w:iCs/>
                <w:color w:val="595959" w:themeColor="text1" w:themeTint="A6"/>
                <w:sz w:val="16"/>
                <w:szCs w:val="16"/>
                <w:lang w:val="en-GB"/>
              </w:rPr>
              <w:t xml:space="preserve"> </w:t>
            </w:r>
            <w:r w:rsidRPr="00FE3D8F">
              <w:rPr>
                <w:rFonts w:ascii="Arial" w:hAnsi="Arial" w:cs="Arial"/>
                <w:iCs/>
                <w:color w:val="595959" w:themeColor="text1" w:themeTint="A6"/>
                <w:sz w:val="16"/>
                <w:szCs w:val="16"/>
                <w:lang w:val="en-GB"/>
              </w:rPr>
              <w:t>on the basis of the generali</w:t>
            </w:r>
            <w:r w:rsidRPr="00FE3D8F">
              <w:rPr>
                <w:rFonts w:ascii="Arial" w:hAnsi="Arial" w:cs="Arial"/>
                <w:color w:val="595959" w:themeColor="text1" w:themeTint="A6"/>
                <w:sz w:val="16"/>
                <w:szCs w:val="16"/>
                <w:lang w:val="en-GB"/>
              </w:rPr>
              <w:t>s</w:t>
            </w:r>
            <w:r w:rsidRPr="00FE3D8F">
              <w:rPr>
                <w:rFonts w:ascii="Arial" w:hAnsi="Arial" w:cs="Arial"/>
                <w:iCs/>
                <w:color w:val="595959" w:themeColor="text1" w:themeTint="A6"/>
                <w:sz w:val="16"/>
                <w:szCs w:val="16"/>
                <w:lang w:val="en-GB"/>
              </w:rPr>
              <w:t>ed results of representative surveys on the ICT (Information and Communication Technologies) usage conducted in the European Union according to a harmoni</w:t>
            </w:r>
            <w:r w:rsidRPr="00FE3D8F">
              <w:rPr>
                <w:rFonts w:ascii="Arial" w:hAnsi="Arial" w:cs="Arial"/>
                <w:color w:val="595959" w:themeColor="text1" w:themeTint="A6"/>
                <w:sz w:val="16"/>
                <w:szCs w:val="16"/>
                <w:lang w:val="en-GB"/>
              </w:rPr>
              <w:t>s</w:t>
            </w:r>
            <w:r w:rsidRPr="00FE3D8F">
              <w:rPr>
                <w:rFonts w:ascii="Arial" w:hAnsi="Arial" w:cs="Arial"/>
                <w:iCs/>
                <w:color w:val="595959" w:themeColor="text1" w:themeTint="A6"/>
                <w:sz w:val="16"/>
                <w:szCs w:val="16"/>
                <w:lang w:val="en-GB"/>
              </w:rPr>
              <w:t>ed methodology.</w:t>
            </w:r>
          </w:p>
          <w:p w:rsidR="00FE3D8F" w:rsidRPr="00FE3D8F" w:rsidRDefault="00FE3D8F" w:rsidP="004F48DE">
            <w:pPr>
              <w:tabs>
                <w:tab w:val="left" w:pos="340"/>
              </w:tabs>
              <w:spacing w:before="40"/>
              <w:ind w:firstLine="113"/>
              <w:jc w:val="both"/>
              <w:rPr>
                <w:rFonts w:ascii="Arial" w:hAnsi="Arial" w:cs="Arial"/>
                <w:iCs/>
                <w:color w:val="595959" w:themeColor="text1" w:themeTint="A6"/>
                <w:sz w:val="16"/>
                <w:szCs w:val="16"/>
                <w:lang w:val="en-GB"/>
              </w:rPr>
            </w:pPr>
            <w:r w:rsidRPr="00FE3D8F">
              <w:rPr>
                <w:rFonts w:ascii="Arial" w:hAnsi="Arial" w:cs="Arial"/>
                <w:b/>
                <w:iCs/>
                <w:color w:val="595959" w:themeColor="text1" w:themeTint="A6"/>
                <w:sz w:val="16"/>
                <w:szCs w:val="16"/>
                <w:lang w:val="en-GB"/>
              </w:rPr>
              <w:t>2.</w:t>
            </w:r>
            <w:r w:rsidRPr="00FE3D8F">
              <w:rPr>
                <w:rFonts w:ascii="Arial" w:hAnsi="Arial" w:cs="Arial"/>
                <w:iCs/>
                <w:color w:val="595959" w:themeColor="text1" w:themeTint="A6"/>
                <w:sz w:val="16"/>
                <w:szCs w:val="16"/>
                <w:lang w:val="en-GB"/>
              </w:rPr>
              <w:t xml:space="preserve"> Data on </w:t>
            </w:r>
            <w:r w:rsidRPr="00FE3D8F">
              <w:rPr>
                <w:rFonts w:ascii="Arial" w:hAnsi="Arial" w:cs="Arial"/>
                <w:b/>
                <w:bCs/>
                <w:iCs/>
                <w:color w:val="595959" w:themeColor="text1" w:themeTint="A6"/>
                <w:sz w:val="16"/>
                <w:szCs w:val="16"/>
                <w:lang w:val="en-GB"/>
              </w:rPr>
              <w:t>enterprises</w:t>
            </w:r>
            <w:r w:rsidRPr="00FE3D8F">
              <w:rPr>
                <w:rFonts w:ascii="Arial" w:hAnsi="Arial" w:cs="Arial"/>
                <w:iCs/>
                <w:color w:val="595959" w:themeColor="text1" w:themeTint="A6"/>
                <w:sz w:val="16"/>
                <w:szCs w:val="16"/>
                <w:lang w:val="en-GB"/>
              </w:rPr>
              <w:t xml:space="preserve"> concern economic entities employing 10 persons or more included in the selected sections, accord</w:t>
            </w:r>
            <w:bookmarkStart w:id="0" w:name="_GoBack"/>
            <w:bookmarkEnd w:id="0"/>
            <w:r w:rsidRPr="00FE3D8F">
              <w:rPr>
                <w:rFonts w:ascii="Arial" w:hAnsi="Arial" w:cs="Arial"/>
                <w:iCs/>
                <w:color w:val="595959" w:themeColor="text1" w:themeTint="A6"/>
                <w:sz w:val="16"/>
                <w:szCs w:val="16"/>
                <w:lang w:val="en-GB"/>
              </w:rPr>
              <w:t xml:space="preserve">ing to the NACE </w:t>
            </w:r>
            <w:r w:rsidRPr="00FE3D8F">
              <w:rPr>
                <w:rFonts w:ascii="Arial" w:hAnsi="Arial" w:cs="Arial"/>
                <w:iCs/>
                <w:caps/>
                <w:color w:val="595959" w:themeColor="text1" w:themeTint="A6"/>
                <w:sz w:val="16"/>
                <w:szCs w:val="16"/>
                <w:lang w:val="en-GB"/>
              </w:rPr>
              <w:t>r</w:t>
            </w:r>
            <w:r w:rsidRPr="00FE3D8F">
              <w:rPr>
                <w:rFonts w:ascii="Arial" w:hAnsi="Arial" w:cs="Arial"/>
                <w:iCs/>
                <w:color w:val="595959" w:themeColor="text1" w:themeTint="A6"/>
                <w:sz w:val="16"/>
                <w:szCs w:val="16"/>
                <w:lang w:val="en-GB"/>
              </w:rPr>
              <w:t xml:space="preserve">ev. 2. </w:t>
            </w:r>
          </w:p>
          <w:p w:rsidR="00982E61" w:rsidRPr="00FE3D8F" w:rsidRDefault="00FE3D8F" w:rsidP="004F48DE">
            <w:pPr>
              <w:tabs>
                <w:tab w:val="left" w:pos="340"/>
              </w:tabs>
              <w:spacing w:before="40"/>
              <w:ind w:firstLine="113"/>
              <w:jc w:val="both"/>
              <w:rPr>
                <w:rFonts w:ascii="Arial" w:hAnsi="Arial" w:cs="Arial"/>
                <w:iCs/>
                <w:color w:val="595959" w:themeColor="text1" w:themeTint="A6"/>
                <w:sz w:val="16"/>
                <w:szCs w:val="16"/>
                <w:lang w:val="en-GB"/>
              </w:rPr>
            </w:pPr>
            <w:r w:rsidRPr="00FE3D8F">
              <w:rPr>
                <w:rFonts w:ascii="Arial" w:hAnsi="Arial" w:cs="Arial"/>
                <w:b/>
                <w:bCs/>
                <w:color w:val="595959" w:themeColor="text1" w:themeTint="A6"/>
                <w:sz w:val="16"/>
                <w:szCs w:val="16"/>
                <w:lang w:val="en-GB"/>
              </w:rPr>
              <w:t>3. </w:t>
            </w:r>
            <w:r w:rsidRPr="00FE3D8F">
              <w:rPr>
                <w:rFonts w:ascii="Arial" w:hAnsi="Arial" w:cs="Arial"/>
                <w:bCs/>
                <w:color w:val="595959" w:themeColor="text1" w:themeTint="A6"/>
                <w:sz w:val="16"/>
                <w:szCs w:val="16"/>
                <w:lang w:val="en-GB"/>
              </w:rPr>
              <w:t>Sale conducted by enterprises within the fra</w:t>
            </w:r>
            <w:r w:rsidRPr="00FE3D8F">
              <w:rPr>
                <w:rFonts w:ascii="Arial" w:hAnsi="Arial" w:cs="Arial"/>
                <w:bCs/>
                <w:color w:val="595959" w:themeColor="text1" w:themeTint="A6"/>
                <w:sz w:val="16"/>
                <w:szCs w:val="16"/>
                <w:lang w:val="en-GB"/>
              </w:rPr>
              <w:softHyphen/>
              <w:t xml:space="preserve">mes of </w:t>
            </w:r>
            <w:r w:rsidRPr="00FE3D8F">
              <w:rPr>
                <w:rFonts w:ascii="Arial" w:hAnsi="Arial" w:cs="Arial"/>
                <w:b/>
                <w:bCs/>
                <w:color w:val="595959" w:themeColor="text1" w:themeTint="A6"/>
                <w:sz w:val="16"/>
                <w:szCs w:val="16"/>
                <w:lang w:val="en-GB"/>
              </w:rPr>
              <w:t>e-commerce</w:t>
            </w:r>
            <w:r w:rsidR="001229C7">
              <w:rPr>
                <w:rFonts w:ascii="Arial" w:hAnsi="Arial" w:cs="Arial"/>
                <w:bCs/>
                <w:color w:val="595959" w:themeColor="text1" w:themeTint="A6"/>
                <w:sz w:val="16"/>
                <w:szCs w:val="16"/>
                <w:lang w:val="en-GB"/>
              </w:rPr>
              <w:t xml:space="preserve"> </w:t>
            </w:r>
            <w:r w:rsidRPr="00FE3D8F">
              <w:rPr>
                <w:rFonts w:ascii="Arial" w:hAnsi="Arial" w:cs="Arial"/>
                <w:bCs/>
                <w:color w:val="595959" w:themeColor="text1" w:themeTint="A6"/>
                <w:sz w:val="16"/>
                <w:szCs w:val="16"/>
                <w:lang w:val="en-GB"/>
              </w:rPr>
              <w:t xml:space="preserve">concerns orders received </w:t>
            </w:r>
            <w:r w:rsidRPr="00FE3D8F">
              <w:rPr>
                <w:rFonts w:ascii="Arial" w:hAnsi="Arial" w:cs="Arial"/>
                <w:color w:val="595959" w:themeColor="text1" w:themeTint="A6"/>
                <w:sz w:val="16"/>
                <w:szCs w:val="16"/>
                <w:lang w:val="en-GB"/>
              </w:rPr>
              <w:t xml:space="preserve">by the enterprise </w:t>
            </w:r>
            <w:r w:rsidRPr="00FE3D8F">
              <w:rPr>
                <w:rFonts w:ascii="Arial" w:hAnsi="Arial" w:cs="Arial"/>
                <w:bCs/>
                <w:color w:val="595959" w:themeColor="text1" w:themeTint="A6"/>
                <w:sz w:val="16"/>
                <w:szCs w:val="16"/>
                <w:lang w:val="en-GB"/>
              </w:rPr>
              <w:t>via web shop, web forms on an enterprise’s website,</w:t>
            </w:r>
            <w:r w:rsidRPr="00FE3D8F">
              <w:rPr>
                <w:rFonts w:ascii="Arial" w:hAnsi="Arial" w:cs="Arial"/>
                <w:color w:val="595959" w:themeColor="text1" w:themeTint="A6"/>
                <w:sz w:val="16"/>
                <w:szCs w:val="16"/>
                <w:lang w:val="en-GB"/>
              </w:rPr>
              <w:t xml:space="preserve"> </w:t>
            </w:r>
            <w:r w:rsidRPr="00FE3D8F">
              <w:rPr>
                <w:rFonts w:ascii="Arial" w:hAnsi="Arial" w:cs="Arial"/>
                <w:bCs/>
                <w:color w:val="595959" w:themeColor="text1" w:themeTint="A6"/>
                <w:sz w:val="16"/>
                <w:szCs w:val="16"/>
                <w:lang w:val="en-GB"/>
              </w:rPr>
              <w:t>an extranet of another enterprise or via EDI-type messages (which means messages in an agreed format, e.g. EDIFACT, XML, with structure allowing for their automatic processing). Orders received by e</w:t>
            </w:r>
            <w:r w:rsidRPr="00FE3D8F">
              <w:rPr>
                <w:rFonts w:ascii="Arial" w:hAnsi="Arial" w:cs="Arial"/>
                <w:bCs/>
                <w:color w:val="595959" w:themeColor="text1" w:themeTint="A6"/>
                <w:sz w:val="16"/>
                <w:szCs w:val="16"/>
                <w:lang w:val="en-GB"/>
              </w:rPr>
              <w:noBreakHyphen/>
              <w:t>mail messages typed manually are not taken into account.</w:t>
            </w:r>
          </w:p>
          <w:p w:rsidR="00982E61" w:rsidRPr="00FE3D8F" w:rsidRDefault="00982E61" w:rsidP="00982E61">
            <w:pPr>
              <w:pStyle w:val="poa"/>
              <w:spacing w:before="20" w:line="226" w:lineRule="auto"/>
              <w:ind w:right="11"/>
              <w:rPr>
                <w:rFonts w:cs="Arial"/>
                <w:color w:val="595959" w:themeColor="text1" w:themeTint="A6"/>
                <w:szCs w:val="16"/>
                <w:lang w:val="en-GB"/>
              </w:rPr>
            </w:pPr>
          </w:p>
        </w:tc>
      </w:tr>
      <w:tr w:rsidR="00982E61" w:rsidRPr="00FA6836" w:rsidTr="00F93231">
        <w:tc>
          <w:tcPr>
            <w:tcW w:w="3686" w:type="dxa"/>
            <w:vMerge/>
            <w:tcBorders>
              <w:top w:val="nil"/>
              <w:left w:val="nil"/>
              <w:bottom w:val="nil"/>
              <w:right w:val="nil"/>
            </w:tcBorders>
          </w:tcPr>
          <w:p w:rsidR="00982E61" w:rsidRPr="00FE3D8F" w:rsidRDefault="00982E61" w:rsidP="00B57B70">
            <w:pPr>
              <w:autoSpaceDE w:val="0"/>
              <w:autoSpaceDN w:val="0"/>
              <w:adjustRightInd w:val="0"/>
              <w:spacing w:line="200" w:lineRule="exact"/>
              <w:ind w:firstLine="74"/>
              <w:jc w:val="both"/>
              <w:rPr>
                <w:rFonts w:ascii="Arial" w:hAnsi="Arial" w:cs="Arial"/>
                <w:szCs w:val="16"/>
                <w:lang w:val="en-GB"/>
              </w:rPr>
            </w:pPr>
            <w:bookmarkStart w:id="1" w:name="BITSoft"/>
            <w:bookmarkEnd w:id="1"/>
          </w:p>
        </w:tc>
        <w:tc>
          <w:tcPr>
            <w:tcW w:w="283" w:type="dxa"/>
            <w:tcBorders>
              <w:top w:val="nil"/>
              <w:left w:val="nil"/>
              <w:bottom w:val="nil"/>
              <w:right w:val="nil"/>
            </w:tcBorders>
          </w:tcPr>
          <w:p w:rsidR="00982E61" w:rsidRPr="00FE3D8F" w:rsidRDefault="00982E61" w:rsidP="00B57B70">
            <w:pPr>
              <w:pStyle w:val="1"/>
              <w:spacing w:line="228" w:lineRule="auto"/>
              <w:rPr>
                <w:rFonts w:cs="Arial"/>
                <w:b/>
                <w:szCs w:val="16"/>
                <w:lang w:val="en-GB"/>
              </w:rPr>
            </w:pPr>
          </w:p>
        </w:tc>
        <w:tc>
          <w:tcPr>
            <w:tcW w:w="3686" w:type="dxa"/>
            <w:vMerge/>
            <w:tcBorders>
              <w:top w:val="nil"/>
              <w:left w:val="nil"/>
              <w:bottom w:val="nil"/>
              <w:right w:val="nil"/>
            </w:tcBorders>
          </w:tcPr>
          <w:p w:rsidR="00982E61" w:rsidRPr="00FE3D8F" w:rsidRDefault="00982E61" w:rsidP="00B57B70">
            <w:pPr>
              <w:autoSpaceDE w:val="0"/>
              <w:autoSpaceDN w:val="0"/>
              <w:adjustRightInd w:val="0"/>
              <w:spacing w:line="224" w:lineRule="exact"/>
              <w:ind w:firstLine="74"/>
              <w:jc w:val="both"/>
              <w:rPr>
                <w:rFonts w:ascii="Arial" w:hAnsi="Arial" w:cs="Arial"/>
                <w:color w:val="595959" w:themeColor="text1" w:themeTint="A6"/>
                <w:szCs w:val="16"/>
                <w:lang w:val="en-GB"/>
              </w:rPr>
            </w:pPr>
          </w:p>
        </w:tc>
      </w:tr>
    </w:tbl>
    <w:p w:rsidR="001E20DA" w:rsidRPr="00FE3D8F" w:rsidRDefault="001E20DA" w:rsidP="00430BC6">
      <w:pPr>
        <w:pStyle w:val="Tekstpodstawowy"/>
        <w:rPr>
          <w:lang w:val="en-GB"/>
        </w:rPr>
      </w:pPr>
    </w:p>
    <w:sectPr w:rsidR="001E20DA" w:rsidRPr="00FE3D8F" w:rsidSect="00BE2878">
      <w:headerReference w:type="even" r:id="rId8"/>
      <w:headerReference w:type="default" r:id="rId9"/>
      <w:type w:val="continuous"/>
      <w:pgSz w:w="9979" w:h="14175" w:code="259"/>
      <w:pgMar w:top="1247" w:right="851" w:bottom="1588" w:left="851" w:header="709" w:footer="709" w:gutter="624"/>
      <w:pgNumType w:start="256"/>
      <w:cols w:space="708" w:equalWidth="0">
        <w:col w:w="7653" w:space="709"/>
      </w:cols>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4BB" w:rsidRDefault="007244BB">
      <w:r>
        <w:separator/>
      </w:r>
    </w:p>
  </w:endnote>
  <w:endnote w:type="continuationSeparator" w:id="0">
    <w:p w:rsidR="007244BB" w:rsidRDefault="00724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4BB" w:rsidRDefault="007244BB">
      <w:r>
        <w:separator/>
      </w:r>
    </w:p>
  </w:footnote>
  <w:footnote w:type="continuationSeparator" w:id="0">
    <w:p w:rsidR="007244BB" w:rsidRDefault="00724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D4B" w:rsidRPr="00DC0F65" w:rsidRDefault="0065742D" w:rsidP="00DC0F65">
    <w:pPr>
      <w:pStyle w:val="Nagwek"/>
      <w:framePr w:wrap="around" w:vAnchor="text" w:hAnchor="margin" w:xAlign="outside" w:y="1"/>
      <w:rPr>
        <w:rStyle w:val="Numerstrony"/>
        <w:rFonts w:ascii="Arial" w:hAnsi="Arial"/>
        <w:sz w:val="16"/>
        <w:szCs w:val="16"/>
      </w:rPr>
    </w:pPr>
    <w:r w:rsidRPr="00DC0F65">
      <w:rPr>
        <w:rStyle w:val="Numerstrony"/>
        <w:rFonts w:ascii="Arial" w:hAnsi="Arial"/>
        <w:sz w:val="16"/>
        <w:szCs w:val="16"/>
      </w:rPr>
      <w:fldChar w:fldCharType="begin"/>
    </w:r>
    <w:r w:rsidR="006F2D4B" w:rsidRPr="00DC0F65">
      <w:rPr>
        <w:rStyle w:val="Numerstrony"/>
        <w:rFonts w:ascii="Arial" w:hAnsi="Arial"/>
        <w:sz w:val="16"/>
        <w:szCs w:val="16"/>
      </w:rPr>
      <w:instrText xml:space="preserve">PAGE  </w:instrText>
    </w:r>
    <w:r w:rsidRPr="00DC0F65">
      <w:rPr>
        <w:rStyle w:val="Numerstrony"/>
        <w:rFonts w:ascii="Arial" w:hAnsi="Arial"/>
        <w:sz w:val="16"/>
        <w:szCs w:val="16"/>
      </w:rPr>
      <w:fldChar w:fldCharType="separate"/>
    </w:r>
    <w:r w:rsidR="00B65516">
      <w:rPr>
        <w:rStyle w:val="Numerstrony"/>
        <w:rFonts w:ascii="Arial" w:hAnsi="Arial"/>
        <w:noProof/>
        <w:sz w:val="16"/>
        <w:szCs w:val="16"/>
      </w:rPr>
      <w:t>260</w:t>
    </w:r>
    <w:r w:rsidRPr="00DC0F65">
      <w:rPr>
        <w:rStyle w:val="Numerstrony"/>
        <w:rFonts w:ascii="Arial" w:hAnsi="Arial"/>
        <w:sz w:val="16"/>
        <w:szCs w:val="16"/>
      </w:rPr>
      <w:fldChar w:fldCharType="end"/>
    </w:r>
  </w:p>
  <w:p w:rsidR="006F2D4B" w:rsidRDefault="006F2D4B" w:rsidP="00FA4EC0">
    <w:pPr>
      <w:pStyle w:val="Nagwek"/>
      <w:ind w:left="709" w:right="-2" w:hanging="709"/>
      <w:jc w:val="right"/>
      <w:rPr>
        <w:rFonts w:ascii="Arial" w:hAnsi="Arial"/>
        <w:sz w:val="14"/>
      </w:rPr>
    </w:pPr>
    <w:r>
      <w:rPr>
        <w:rFonts w:ascii="Arial" w:hAnsi="Arial"/>
        <w:sz w:val="14"/>
      </w:rPr>
      <w:t>NAUKA  I  TECHNIKA.  SPOŁECZEŃSTWO  INFORMACYJNE</w:t>
    </w:r>
  </w:p>
  <w:p w:rsidR="006F2D4B" w:rsidRDefault="00B23F4F">
    <w:pPr>
      <w:pStyle w:val="Nagwek"/>
      <w:jc w:val="center"/>
      <w:rPr>
        <w:lang w:val="en-US"/>
      </w:rPr>
    </w:pPr>
    <w:r>
      <w:rPr>
        <w:rFonts w:ascii="Arial" w:hAnsi="Arial"/>
        <w:noProof/>
        <w:sz w:val="18"/>
      </w:rPr>
      <mc:AlternateContent>
        <mc:Choice Requires="wps">
          <w:drawing>
            <wp:anchor distT="0" distB="0" distL="114300" distR="114300" simplePos="0" relativeHeight="251658240" behindDoc="0" locked="0" layoutInCell="0" allowOverlap="1">
              <wp:simplePos x="0" y="0"/>
              <wp:positionH relativeFrom="column">
                <wp:posOffset>8255</wp:posOffset>
              </wp:positionH>
              <wp:positionV relativeFrom="paragraph">
                <wp:posOffset>27940</wp:posOffset>
              </wp:positionV>
              <wp:extent cx="4868545" cy="0"/>
              <wp:effectExtent l="8255" t="8890" r="9525" b="1016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8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4631D"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2.2pt" to="38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1zR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" o:allowincell="f">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D4B" w:rsidRPr="00DC0F65" w:rsidRDefault="0065742D">
    <w:pPr>
      <w:pStyle w:val="Nagwek"/>
      <w:framePr w:wrap="around" w:vAnchor="text" w:hAnchor="margin" w:xAlign="outside" w:y="1"/>
      <w:rPr>
        <w:rStyle w:val="Numerstrony"/>
        <w:rFonts w:ascii="Arial" w:hAnsi="Arial"/>
        <w:sz w:val="16"/>
        <w:szCs w:val="16"/>
      </w:rPr>
    </w:pPr>
    <w:r w:rsidRPr="00DC0F65">
      <w:rPr>
        <w:rStyle w:val="Numerstrony"/>
        <w:rFonts w:ascii="Arial" w:hAnsi="Arial"/>
        <w:sz w:val="16"/>
        <w:szCs w:val="16"/>
      </w:rPr>
      <w:fldChar w:fldCharType="begin"/>
    </w:r>
    <w:r w:rsidR="006F2D4B" w:rsidRPr="00DC0F65">
      <w:rPr>
        <w:rStyle w:val="Numerstrony"/>
        <w:rFonts w:ascii="Arial" w:hAnsi="Arial"/>
        <w:sz w:val="16"/>
        <w:szCs w:val="16"/>
      </w:rPr>
      <w:instrText xml:space="preserve">PAGE  </w:instrText>
    </w:r>
    <w:r w:rsidRPr="00DC0F65">
      <w:rPr>
        <w:rStyle w:val="Numerstrony"/>
        <w:rFonts w:ascii="Arial" w:hAnsi="Arial"/>
        <w:sz w:val="16"/>
        <w:szCs w:val="16"/>
      </w:rPr>
      <w:fldChar w:fldCharType="separate"/>
    </w:r>
    <w:r w:rsidR="00B65516">
      <w:rPr>
        <w:rStyle w:val="Numerstrony"/>
        <w:rFonts w:ascii="Arial" w:hAnsi="Arial"/>
        <w:noProof/>
        <w:sz w:val="16"/>
        <w:szCs w:val="16"/>
      </w:rPr>
      <w:t>259</w:t>
    </w:r>
    <w:r w:rsidRPr="00DC0F65">
      <w:rPr>
        <w:rStyle w:val="Numerstrony"/>
        <w:rFonts w:ascii="Arial" w:hAnsi="Arial"/>
        <w:sz w:val="16"/>
        <w:szCs w:val="16"/>
      </w:rPr>
      <w:fldChar w:fldCharType="end"/>
    </w:r>
  </w:p>
  <w:p w:rsidR="006F2D4B" w:rsidRPr="00DC0F65" w:rsidRDefault="006F2D4B" w:rsidP="00AD07B9">
    <w:pPr>
      <w:pStyle w:val="Nagwek"/>
      <w:ind w:right="-2"/>
      <w:rPr>
        <w:rFonts w:ascii="Arial" w:hAnsi="Arial"/>
        <w:color w:val="595959" w:themeColor="text1" w:themeTint="A6"/>
        <w:sz w:val="14"/>
      </w:rPr>
    </w:pPr>
    <w:r w:rsidRPr="00DC0F65">
      <w:rPr>
        <w:rFonts w:ascii="Arial" w:hAnsi="Arial"/>
        <w:color w:val="595959" w:themeColor="text1" w:themeTint="A6"/>
        <w:sz w:val="14"/>
      </w:rPr>
      <w:t>SCIENCE  AND  TECHNOLOGY.  INFORMATION  SOCIETY</w:t>
    </w:r>
  </w:p>
  <w:p w:rsidR="006F2D4B" w:rsidRDefault="00B23F4F">
    <w:pPr>
      <w:pStyle w:val="Nagwek"/>
      <w:jc w:val="center"/>
    </w:pPr>
    <w:r>
      <w:rPr>
        <w:rFonts w:ascii="Arial" w:hAnsi="Arial"/>
        <w:noProof/>
        <w:sz w:val="18"/>
      </w:rPr>
      <mc:AlternateContent>
        <mc:Choice Requires="wps">
          <w:drawing>
            <wp:anchor distT="0" distB="0" distL="114300" distR="114300" simplePos="0" relativeHeight="251657216" behindDoc="0" locked="0" layoutInCell="0" allowOverlap="1">
              <wp:simplePos x="0" y="0"/>
              <wp:positionH relativeFrom="column">
                <wp:posOffset>-3175</wp:posOffset>
              </wp:positionH>
              <wp:positionV relativeFrom="paragraph">
                <wp:posOffset>25400</wp:posOffset>
              </wp:positionV>
              <wp:extent cx="4868545" cy="0"/>
              <wp:effectExtent l="6350" t="6350" r="11430" b="12700"/>
              <wp:wrapTopAndBottom/>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8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BC9C3"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pt" to="383.1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iQ9EwIAACg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" o:allowincell="f">
              <w10:wrap type="topAndBotto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72B25"/>
    <w:multiLevelType w:val="hybridMultilevel"/>
    <w:tmpl w:val="BADC2DEA"/>
    <w:lvl w:ilvl="0" w:tplc="2D1ABF80">
      <w:start w:val="1"/>
      <w:numFmt w:val="bullet"/>
      <w:lvlText w:val="―"/>
      <w:lvlJc w:val="left"/>
      <w:pPr>
        <w:tabs>
          <w:tab w:val="num" w:pos="227"/>
        </w:tabs>
        <w:ind w:left="227" w:hanging="227"/>
      </w:pPr>
      <w:rPr>
        <w:rFonts w:ascii="Arial" w:hAnsi="Arial" w:hint="default"/>
        <w:b w:val="0"/>
        <w:i w:val="0"/>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D37CDA3E">
      <w:start w:val="1"/>
      <w:numFmt w:val="decimal"/>
      <w:lvlText w:val="%2)"/>
      <w:lvlJc w:val="left"/>
      <w:pPr>
        <w:tabs>
          <w:tab w:val="num" w:pos="227"/>
        </w:tabs>
        <w:ind w:left="227" w:hanging="227"/>
      </w:pPr>
      <w:rPr>
        <w:rFonts w:ascii="Arial" w:hAnsi="Arial" w:hint="default"/>
        <w:b w:val="0"/>
        <w:i w:val="0"/>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E6749DDE">
      <w:start w:val="1"/>
      <w:numFmt w:val="lowerLetter"/>
      <w:lvlText w:val="%3)"/>
      <w:lvlJc w:val="left"/>
      <w:pPr>
        <w:tabs>
          <w:tab w:val="num" w:pos="454"/>
        </w:tabs>
        <w:ind w:left="454" w:hanging="227"/>
      </w:pPr>
      <w:rPr>
        <w:rFonts w:hint="default"/>
        <w:b w:val="0"/>
        <w:i w:val="0"/>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3" w:tplc="B24E01E6">
      <w:start w:val="3"/>
      <w:numFmt w:val="decimal"/>
      <w:lvlText w:val="%4)"/>
      <w:lvlJc w:val="left"/>
      <w:pPr>
        <w:tabs>
          <w:tab w:val="num" w:pos="227"/>
        </w:tabs>
        <w:ind w:left="227" w:hanging="227"/>
      </w:pPr>
      <w:rPr>
        <w:rFonts w:hint="default"/>
        <w:b w:val="0"/>
        <w:i w:val="0"/>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4868A1"/>
    <w:multiLevelType w:val="hybridMultilevel"/>
    <w:tmpl w:val="6AC8E1EC"/>
    <w:lvl w:ilvl="0" w:tplc="39C00850">
      <w:start w:val="1"/>
      <w:numFmt w:val="decimal"/>
      <w:lvlText w:val="%1)"/>
      <w:lvlJc w:val="left"/>
      <w:pPr>
        <w:ind w:left="890" w:hanging="360"/>
      </w:pPr>
      <w:rPr>
        <w:rFonts w:ascii="Arial" w:hAnsi="Arial" w:cs="Arial" w:hint="default"/>
      </w:rPr>
    </w:lvl>
    <w:lvl w:ilvl="1" w:tplc="827440D0">
      <w:start w:val="1"/>
      <w:numFmt w:val="lowerLetter"/>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6130332"/>
    <w:multiLevelType w:val="hybridMultilevel"/>
    <w:tmpl w:val="7C3EBDE0"/>
    <w:lvl w:ilvl="0" w:tplc="41A6E59C">
      <w:start w:val="1"/>
      <w:numFmt w:val="lowerLetter"/>
      <w:lvlText w:val="%1)"/>
      <w:lvlJc w:val="left"/>
      <w:pPr>
        <w:ind w:left="890" w:hanging="360"/>
      </w:pPr>
      <w:rPr>
        <w:rFonts w:ascii="Arial" w:hAnsi="Arial" w:cs="Arial" w:hint="default"/>
        <w:b w:val="0"/>
        <w:i w:val="0"/>
        <w:caps w:val="0"/>
        <w:strike w:val="0"/>
        <w:dstrike w:val="0"/>
        <w:vanish w:val="0"/>
        <w:webHidden w:val="0"/>
        <w:color w:val="000000"/>
        <w:sz w:val="16"/>
        <w:szCs w:val="16"/>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610" w:hanging="360"/>
      </w:pPr>
    </w:lvl>
    <w:lvl w:ilvl="2" w:tplc="0415001B">
      <w:start w:val="1"/>
      <w:numFmt w:val="lowerRoman"/>
      <w:lvlText w:val="%3."/>
      <w:lvlJc w:val="right"/>
      <w:pPr>
        <w:ind w:left="2330" w:hanging="180"/>
      </w:pPr>
    </w:lvl>
    <w:lvl w:ilvl="3" w:tplc="0415000F">
      <w:start w:val="1"/>
      <w:numFmt w:val="decimal"/>
      <w:lvlText w:val="%4."/>
      <w:lvlJc w:val="left"/>
      <w:pPr>
        <w:ind w:left="3050" w:hanging="360"/>
      </w:pPr>
    </w:lvl>
    <w:lvl w:ilvl="4" w:tplc="04150019">
      <w:start w:val="1"/>
      <w:numFmt w:val="lowerLetter"/>
      <w:lvlText w:val="%5."/>
      <w:lvlJc w:val="left"/>
      <w:pPr>
        <w:ind w:left="3770" w:hanging="360"/>
      </w:pPr>
    </w:lvl>
    <w:lvl w:ilvl="5" w:tplc="0415001B">
      <w:start w:val="1"/>
      <w:numFmt w:val="lowerRoman"/>
      <w:lvlText w:val="%6."/>
      <w:lvlJc w:val="right"/>
      <w:pPr>
        <w:ind w:left="4490" w:hanging="180"/>
      </w:pPr>
    </w:lvl>
    <w:lvl w:ilvl="6" w:tplc="0415000F">
      <w:start w:val="1"/>
      <w:numFmt w:val="decimal"/>
      <w:lvlText w:val="%7."/>
      <w:lvlJc w:val="left"/>
      <w:pPr>
        <w:ind w:left="5210" w:hanging="360"/>
      </w:pPr>
    </w:lvl>
    <w:lvl w:ilvl="7" w:tplc="04150019">
      <w:start w:val="1"/>
      <w:numFmt w:val="lowerLetter"/>
      <w:lvlText w:val="%8."/>
      <w:lvlJc w:val="left"/>
      <w:pPr>
        <w:ind w:left="5930" w:hanging="360"/>
      </w:pPr>
    </w:lvl>
    <w:lvl w:ilvl="8" w:tplc="0415001B">
      <w:start w:val="1"/>
      <w:numFmt w:val="lowerRoman"/>
      <w:lvlText w:val="%9."/>
      <w:lvlJc w:val="right"/>
      <w:pPr>
        <w:ind w:left="6650" w:hanging="180"/>
      </w:pPr>
    </w:lvl>
  </w:abstractNum>
  <w:abstractNum w:abstractNumId="3" w15:restartNumberingAfterBreak="0">
    <w:nsid w:val="4BA54F51"/>
    <w:multiLevelType w:val="singleLevel"/>
    <w:tmpl w:val="E216ECB2"/>
    <w:lvl w:ilvl="0">
      <w:start w:val="1"/>
      <w:numFmt w:val="decimal"/>
      <w:pStyle w:val="Styl1"/>
      <w:lvlText w:val="%1."/>
      <w:lvlJc w:val="left"/>
      <w:pPr>
        <w:tabs>
          <w:tab w:val="num" w:pos="757"/>
        </w:tabs>
        <w:ind w:left="0" w:firstLine="397"/>
      </w:pPr>
      <w:rPr>
        <w:rFonts w:hint="default"/>
        <w:b/>
      </w:rPr>
    </w:lvl>
  </w:abstractNum>
  <w:abstractNum w:abstractNumId="4" w15:restartNumberingAfterBreak="0">
    <w:nsid w:val="551A13ED"/>
    <w:multiLevelType w:val="hybridMultilevel"/>
    <w:tmpl w:val="479ED18A"/>
    <w:lvl w:ilvl="0" w:tplc="1196F8F2">
      <w:start w:val="1"/>
      <w:numFmt w:val="decimal"/>
      <w:lvlText w:val="%1)"/>
      <w:lvlJc w:val="left"/>
      <w:pPr>
        <w:ind w:left="720" w:hanging="360"/>
      </w:pPr>
      <w:rPr>
        <w:rFonts w:ascii="Arial" w:hAnsi="Arial" w:hint="default"/>
        <w:b w:val="0"/>
        <w:i/>
        <w:strike w:val="0"/>
        <w:dstrike w:val="0"/>
        <w:sz w:val="16"/>
        <w:szCs w:val="16"/>
      </w:rPr>
    </w:lvl>
    <w:lvl w:ilvl="1" w:tplc="1CBCA75C">
      <w:start w:val="1"/>
      <w:numFmt w:val="decimal"/>
      <w:lvlText w:val="%2)"/>
      <w:lvlJc w:val="left"/>
      <w:pPr>
        <w:ind w:left="1440" w:hanging="360"/>
      </w:pPr>
      <w:rPr>
        <w:rFonts w:ascii="Arial" w:hAnsi="Arial" w:hint="default"/>
        <w:b w:val="0"/>
        <w:i w:val="0"/>
        <w:strike w:val="0"/>
        <w:dstrike w:val="0"/>
        <w:sz w:val="16"/>
        <w:szCs w:val="1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AA7727C"/>
    <w:multiLevelType w:val="hybridMultilevel"/>
    <w:tmpl w:val="AB6CD172"/>
    <w:lvl w:ilvl="0" w:tplc="02D29942">
      <w:start w:val="1"/>
      <w:numFmt w:val="decimal"/>
      <w:lvlText w:val="%1)"/>
      <w:lvlJc w:val="left"/>
      <w:pPr>
        <w:tabs>
          <w:tab w:val="num" w:pos="227"/>
        </w:tabs>
        <w:ind w:left="227" w:hanging="227"/>
      </w:pPr>
      <w:rPr>
        <w:rFonts w:ascii="Arial" w:hAnsi="Arial" w:hint="default"/>
        <w:b w:val="0"/>
        <w:i w:val="0"/>
        <w:strike w:val="0"/>
        <w:dstrike w:val="0"/>
        <w:sz w:val="16"/>
        <w:szCs w:val="16"/>
      </w:rPr>
    </w:lvl>
    <w:lvl w:ilvl="1" w:tplc="82A46CE6">
      <w:start w:val="1"/>
      <w:numFmt w:val="decimal"/>
      <w:lvlText w:val="%2)"/>
      <w:lvlJc w:val="left"/>
      <w:pPr>
        <w:tabs>
          <w:tab w:val="num" w:pos="652"/>
        </w:tabs>
        <w:ind w:left="652" w:hanging="227"/>
      </w:pPr>
      <w:rPr>
        <w:rFonts w:ascii="Arial" w:hAnsi="Arial" w:hint="default"/>
        <w:b w:val="0"/>
        <w:i w:val="0"/>
        <w:strike w:val="0"/>
        <w:dstrike w:val="0"/>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6D5C23FF"/>
    <w:multiLevelType w:val="hybridMultilevel"/>
    <w:tmpl w:val="612EA884"/>
    <w:lvl w:ilvl="0" w:tplc="41A6E59C">
      <w:start w:val="1"/>
      <w:numFmt w:val="lowerLetter"/>
      <w:lvlText w:val="%1)"/>
      <w:lvlJc w:val="left"/>
      <w:pPr>
        <w:ind w:left="890" w:hanging="360"/>
      </w:pPr>
      <w:rPr>
        <w:rFonts w:ascii="Arial" w:hAnsi="Arial" w:cs="Arial" w:hint="default"/>
        <w:b w:val="0"/>
        <w:i w:val="0"/>
        <w:caps w:val="0"/>
        <w:strike w:val="0"/>
        <w:dstrike w:val="0"/>
        <w:vanish w:val="0"/>
        <w:webHidden w:val="0"/>
        <w:color w:val="000000"/>
        <w:sz w:val="16"/>
        <w:szCs w:val="16"/>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827440D0">
      <w:start w:val="1"/>
      <w:numFmt w:val="lowerLetter"/>
      <w:lvlText w:val="%2)"/>
      <w:lvlJc w:val="left"/>
      <w:pPr>
        <w:ind w:left="1440" w:hanging="360"/>
      </w:pPr>
      <w:rPr>
        <w:rFonts w:hint="default"/>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06E7598"/>
    <w:multiLevelType w:val="hybridMultilevel"/>
    <w:tmpl w:val="F9C0DDD8"/>
    <w:lvl w:ilvl="0" w:tplc="6666D412">
      <w:start w:val="1"/>
      <w:numFmt w:val="decimal"/>
      <w:lvlText w:val="%1)"/>
      <w:lvlJc w:val="left"/>
      <w:pPr>
        <w:ind w:left="530" w:hanging="360"/>
      </w:pPr>
      <w:rPr>
        <w:rFonts w:hint="default"/>
        <w:b w:val="0"/>
        <w:color w:val="000000"/>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8" w15:restartNumberingAfterBreak="0">
    <w:nsid w:val="70E438DF"/>
    <w:multiLevelType w:val="hybridMultilevel"/>
    <w:tmpl w:val="9E34B37A"/>
    <w:lvl w:ilvl="0" w:tplc="77068C0A">
      <w:start w:val="1"/>
      <w:numFmt w:val="decimal"/>
      <w:lvlText w:val="%1)"/>
      <w:lvlJc w:val="left"/>
      <w:pPr>
        <w:ind w:left="890" w:hanging="360"/>
      </w:pPr>
      <w:rPr>
        <w:strike w:val="0"/>
      </w:rPr>
    </w:lvl>
    <w:lvl w:ilvl="1" w:tplc="04150019">
      <w:start w:val="1"/>
      <w:numFmt w:val="lowerLetter"/>
      <w:lvlText w:val="%2."/>
      <w:lvlJc w:val="left"/>
      <w:pPr>
        <w:ind w:left="1610" w:hanging="360"/>
      </w:pPr>
    </w:lvl>
    <w:lvl w:ilvl="2" w:tplc="0415001B">
      <w:start w:val="1"/>
      <w:numFmt w:val="lowerRoman"/>
      <w:lvlText w:val="%3."/>
      <w:lvlJc w:val="right"/>
      <w:pPr>
        <w:ind w:left="2330" w:hanging="180"/>
      </w:pPr>
    </w:lvl>
    <w:lvl w:ilvl="3" w:tplc="0415000F">
      <w:start w:val="1"/>
      <w:numFmt w:val="decimal"/>
      <w:lvlText w:val="%4."/>
      <w:lvlJc w:val="left"/>
      <w:pPr>
        <w:ind w:left="3050" w:hanging="360"/>
      </w:pPr>
    </w:lvl>
    <w:lvl w:ilvl="4" w:tplc="04150019">
      <w:start w:val="1"/>
      <w:numFmt w:val="lowerLetter"/>
      <w:lvlText w:val="%5."/>
      <w:lvlJc w:val="left"/>
      <w:pPr>
        <w:ind w:left="3770" w:hanging="360"/>
      </w:pPr>
    </w:lvl>
    <w:lvl w:ilvl="5" w:tplc="0415001B">
      <w:start w:val="1"/>
      <w:numFmt w:val="lowerRoman"/>
      <w:lvlText w:val="%6."/>
      <w:lvlJc w:val="right"/>
      <w:pPr>
        <w:ind w:left="4490" w:hanging="180"/>
      </w:pPr>
    </w:lvl>
    <w:lvl w:ilvl="6" w:tplc="0415000F">
      <w:start w:val="1"/>
      <w:numFmt w:val="decimal"/>
      <w:lvlText w:val="%7."/>
      <w:lvlJc w:val="left"/>
      <w:pPr>
        <w:ind w:left="5210" w:hanging="360"/>
      </w:pPr>
    </w:lvl>
    <w:lvl w:ilvl="7" w:tplc="04150019">
      <w:start w:val="1"/>
      <w:numFmt w:val="lowerLetter"/>
      <w:lvlText w:val="%8."/>
      <w:lvlJc w:val="left"/>
      <w:pPr>
        <w:ind w:left="5930" w:hanging="360"/>
      </w:pPr>
    </w:lvl>
    <w:lvl w:ilvl="8" w:tplc="0415001B">
      <w:start w:val="1"/>
      <w:numFmt w:val="lowerRoman"/>
      <w:lvlText w:val="%9."/>
      <w:lvlJc w:val="right"/>
      <w:pPr>
        <w:ind w:left="6650" w:hanging="180"/>
      </w:pPr>
    </w:lvl>
  </w:abstractNum>
  <w:abstractNum w:abstractNumId="9" w15:restartNumberingAfterBreak="0">
    <w:nsid w:val="78AE7FD8"/>
    <w:multiLevelType w:val="hybridMultilevel"/>
    <w:tmpl w:val="8E0ABE88"/>
    <w:lvl w:ilvl="0" w:tplc="105AB310">
      <w:start w:val="1"/>
      <w:numFmt w:val="bullet"/>
      <w:lvlText w:val="—"/>
      <w:lvlJc w:val="left"/>
      <w:pPr>
        <w:tabs>
          <w:tab w:val="num" w:pos="227"/>
        </w:tabs>
        <w:ind w:left="227" w:hanging="227"/>
      </w:pPr>
      <w:rPr>
        <w:rFonts w:ascii="Arial" w:hAnsi="Arial" w:hint="default"/>
        <w:b w:val="0"/>
        <w:i w:val="0"/>
        <w:caps w:val="0"/>
        <w:strike w:val="0"/>
        <w:dstrike w:val="0"/>
        <w:vanish w:val="0"/>
        <w:color w:val="595959" w:themeColor="text1" w:themeTint="A6"/>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DEBA0346">
      <w:start w:val="1"/>
      <w:numFmt w:val="decimal"/>
      <w:lvlText w:val="%2)"/>
      <w:lvlJc w:val="left"/>
      <w:pPr>
        <w:tabs>
          <w:tab w:val="num" w:pos="227"/>
        </w:tabs>
        <w:ind w:left="227" w:hanging="227"/>
      </w:pPr>
      <w:rPr>
        <w:rFonts w:ascii="Arial" w:hAnsi="Arial" w:hint="default"/>
        <w:b w:val="0"/>
        <w:i/>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2" w:tplc="DF4E5258">
      <w:start w:val="1"/>
      <w:numFmt w:val="lowerLetter"/>
      <w:lvlText w:val="%3)"/>
      <w:lvlJc w:val="left"/>
      <w:pPr>
        <w:tabs>
          <w:tab w:val="num" w:pos="454"/>
        </w:tabs>
        <w:ind w:left="454" w:hanging="227"/>
      </w:pPr>
      <w:rPr>
        <w:rFonts w:hint="default"/>
        <w:b w:val="0"/>
        <w:i/>
        <w:caps w:val="0"/>
        <w:strike w:val="0"/>
        <w:dstrike w:val="0"/>
        <w:vanish w:val="0"/>
        <w:color w:val="00000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9"/>
    <w:lvlOverride w:ilvl="0"/>
    <w:lvlOverride w:ilvl="1">
      <w:startOverride w:val="1"/>
    </w:lvlOverride>
    <w:lvlOverride w:ilvl="2">
      <w:startOverride w:val="1"/>
    </w:lvlOverride>
    <w:lvlOverride w:ilvl="3"/>
    <w:lvlOverride w:ilvl="4"/>
    <w:lvlOverride w:ilvl="5"/>
    <w:lvlOverride w:ilvl="6"/>
    <w:lvlOverride w:ilvl="7"/>
    <w:lvlOverride w:ilvl="8"/>
  </w:num>
  <w:num w:numId="4">
    <w:abstractNumId w:val="7"/>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2"/>
  </w:num>
  <w:num w:numId="1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662"/>
    <w:rsid w:val="00000794"/>
    <w:rsid w:val="00005387"/>
    <w:rsid w:val="000122AB"/>
    <w:rsid w:val="00014492"/>
    <w:rsid w:val="00017229"/>
    <w:rsid w:val="00020994"/>
    <w:rsid w:val="000218E0"/>
    <w:rsid w:val="000240EA"/>
    <w:rsid w:val="00031F45"/>
    <w:rsid w:val="00054587"/>
    <w:rsid w:val="00064972"/>
    <w:rsid w:val="0007373D"/>
    <w:rsid w:val="0009448E"/>
    <w:rsid w:val="00097626"/>
    <w:rsid w:val="000A235F"/>
    <w:rsid w:val="000B154B"/>
    <w:rsid w:val="000B1C98"/>
    <w:rsid w:val="000B4EF3"/>
    <w:rsid w:val="000B6CB3"/>
    <w:rsid w:val="000C42CD"/>
    <w:rsid w:val="000C59CD"/>
    <w:rsid w:val="000D72F4"/>
    <w:rsid w:val="000E12ED"/>
    <w:rsid w:val="000E770C"/>
    <w:rsid w:val="000F117F"/>
    <w:rsid w:val="000F50C5"/>
    <w:rsid w:val="00100A74"/>
    <w:rsid w:val="00103502"/>
    <w:rsid w:val="00112A2B"/>
    <w:rsid w:val="001157CB"/>
    <w:rsid w:val="001167F5"/>
    <w:rsid w:val="001229C7"/>
    <w:rsid w:val="0012339E"/>
    <w:rsid w:val="001246C0"/>
    <w:rsid w:val="00140E07"/>
    <w:rsid w:val="00144C4F"/>
    <w:rsid w:val="00166383"/>
    <w:rsid w:val="00181FDC"/>
    <w:rsid w:val="0018651F"/>
    <w:rsid w:val="00190415"/>
    <w:rsid w:val="001A21C7"/>
    <w:rsid w:val="001B4F6A"/>
    <w:rsid w:val="001B5436"/>
    <w:rsid w:val="001C7830"/>
    <w:rsid w:val="001D14FF"/>
    <w:rsid w:val="001E20DA"/>
    <w:rsid w:val="00202497"/>
    <w:rsid w:val="002127FF"/>
    <w:rsid w:val="00214ABA"/>
    <w:rsid w:val="00216501"/>
    <w:rsid w:val="002177C6"/>
    <w:rsid w:val="0022083D"/>
    <w:rsid w:val="002366D1"/>
    <w:rsid w:val="002371B7"/>
    <w:rsid w:val="00241659"/>
    <w:rsid w:val="00242B12"/>
    <w:rsid w:val="00260AAB"/>
    <w:rsid w:val="00275671"/>
    <w:rsid w:val="00277428"/>
    <w:rsid w:val="00281632"/>
    <w:rsid w:val="00287223"/>
    <w:rsid w:val="00295AAB"/>
    <w:rsid w:val="002A5260"/>
    <w:rsid w:val="002B45EC"/>
    <w:rsid w:val="002B6656"/>
    <w:rsid w:val="002C025B"/>
    <w:rsid w:val="002C115F"/>
    <w:rsid w:val="002C4AF0"/>
    <w:rsid w:val="002D3F54"/>
    <w:rsid w:val="002D5896"/>
    <w:rsid w:val="00300895"/>
    <w:rsid w:val="00301817"/>
    <w:rsid w:val="00304828"/>
    <w:rsid w:val="00306ED5"/>
    <w:rsid w:val="003200D4"/>
    <w:rsid w:val="0033143F"/>
    <w:rsid w:val="00331A5B"/>
    <w:rsid w:val="00331F05"/>
    <w:rsid w:val="00340390"/>
    <w:rsid w:val="00340A86"/>
    <w:rsid w:val="003413B7"/>
    <w:rsid w:val="00344E06"/>
    <w:rsid w:val="00360E72"/>
    <w:rsid w:val="00361613"/>
    <w:rsid w:val="0037797D"/>
    <w:rsid w:val="003875D9"/>
    <w:rsid w:val="003A0EBB"/>
    <w:rsid w:val="003A2FDA"/>
    <w:rsid w:val="003B0FAD"/>
    <w:rsid w:val="003C19E7"/>
    <w:rsid w:val="003D60A8"/>
    <w:rsid w:val="003D6752"/>
    <w:rsid w:val="003E0CD3"/>
    <w:rsid w:val="003E0E5B"/>
    <w:rsid w:val="003E67F9"/>
    <w:rsid w:val="003E6F92"/>
    <w:rsid w:val="003E7DCE"/>
    <w:rsid w:val="003F7D0B"/>
    <w:rsid w:val="0040060C"/>
    <w:rsid w:val="004012E9"/>
    <w:rsid w:val="00412BD0"/>
    <w:rsid w:val="00430BC6"/>
    <w:rsid w:val="004328BB"/>
    <w:rsid w:val="00435311"/>
    <w:rsid w:val="0044181D"/>
    <w:rsid w:val="00444B7F"/>
    <w:rsid w:val="00464861"/>
    <w:rsid w:val="004868A4"/>
    <w:rsid w:val="00486C9B"/>
    <w:rsid w:val="00486D9F"/>
    <w:rsid w:val="0049219F"/>
    <w:rsid w:val="0049429F"/>
    <w:rsid w:val="004A3656"/>
    <w:rsid w:val="004A3D69"/>
    <w:rsid w:val="004A5562"/>
    <w:rsid w:val="004B1FB1"/>
    <w:rsid w:val="004B708A"/>
    <w:rsid w:val="004C7DAF"/>
    <w:rsid w:val="004D3CEC"/>
    <w:rsid w:val="004E2BCC"/>
    <w:rsid w:val="004E584F"/>
    <w:rsid w:val="004F03E0"/>
    <w:rsid w:val="004F0484"/>
    <w:rsid w:val="004F1079"/>
    <w:rsid w:val="004F1759"/>
    <w:rsid w:val="004F1FB8"/>
    <w:rsid w:val="004F48DE"/>
    <w:rsid w:val="004F568D"/>
    <w:rsid w:val="00502EA6"/>
    <w:rsid w:val="00504A83"/>
    <w:rsid w:val="00522E31"/>
    <w:rsid w:val="0054148B"/>
    <w:rsid w:val="005711FB"/>
    <w:rsid w:val="00572D2F"/>
    <w:rsid w:val="00586191"/>
    <w:rsid w:val="00590789"/>
    <w:rsid w:val="00591DD0"/>
    <w:rsid w:val="005A70C7"/>
    <w:rsid w:val="005B0B4A"/>
    <w:rsid w:val="005B2F27"/>
    <w:rsid w:val="005C4966"/>
    <w:rsid w:val="005C71AF"/>
    <w:rsid w:val="005D107A"/>
    <w:rsid w:val="005D2812"/>
    <w:rsid w:val="005E3A53"/>
    <w:rsid w:val="005E3F5D"/>
    <w:rsid w:val="006012C5"/>
    <w:rsid w:val="00610811"/>
    <w:rsid w:val="00612A88"/>
    <w:rsid w:val="00630382"/>
    <w:rsid w:val="006372A9"/>
    <w:rsid w:val="006446FC"/>
    <w:rsid w:val="00651B81"/>
    <w:rsid w:val="0065534B"/>
    <w:rsid w:val="0065742D"/>
    <w:rsid w:val="006940CD"/>
    <w:rsid w:val="006A4CC4"/>
    <w:rsid w:val="006A5FE0"/>
    <w:rsid w:val="006A6C93"/>
    <w:rsid w:val="006B1C82"/>
    <w:rsid w:val="006B6552"/>
    <w:rsid w:val="006B6FA8"/>
    <w:rsid w:val="006B76E6"/>
    <w:rsid w:val="006B7F85"/>
    <w:rsid w:val="006D2290"/>
    <w:rsid w:val="006D5447"/>
    <w:rsid w:val="006D5AE2"/>
    <w:rsid w:val="006E0285"/>
    <w:rsid w:val="006E2D04"/>
    <w:rsid w:val="006E556A"/>
    <w:rsid w:val="006F1D84"/>
    <w:rsid w:val="006F2D4B"/>
    <w:rsid w:val="00701A8C"/>
    <w:rsid w:val="007244BB"/>
    <w:rsid w:val="00731433"/>
    <w:rsid w:val="00731439"/>
    <w:rsid w:val="007344FE"/>
    <w:rsid w:val="007363A8"/>
    <w:rsid w:val="00737493"/>
    <w:rsid w:val="0074162B"/>
    <w:rsid w:val="00743524"/>
    <w:rsid w:val="007539AA"/>
    <w:rsid w:val="00777214"/>
    <w:rsid w:val="00781161"/>
    <w:rsid w:val="00786820"/>
    <w:rsid w:val="007868F8"/>
    <w:rsid w:val="00792ACA"/>
    <w:rsid w:val="00794A25"/>
    <w:rsid w:val="007B129E"/>
    <w:rsid w:val="007C3822"/>
    <w:rsid w:val="007C7C6F"/>
    <w:rsid w:val="007F62DC"/>
    <w:rsid w:val="00810615"/>
    <w:rsid w:val="00813054"/>
    <w:rsid w:val="00816D49"/>
    <w:rsid w:val="008215E7"/>
    <w:rsid w:val="00822DDB"/>
    <w:rsid w:val="00837B23"/>
    <w:rsid w:val="0084152B"/>
    <w:rsid w:val="008550D1"/>
    <w:rsid w:val="00861D0A"/>
    <w:rsid w:val="00862499"/>
    <w:rsid w:val="00862C34"/>
    <w:rsid w:val="00864981"/>
    <w:rsid w:val="008800B3"/>
    <w:rsid w:val="00880ADE"/>
    <w:rsid w:val="00881F49"/>
    <w:rsid w:val="00882AB8"/>
    <w:rsid w:val="00886BC5"/>
    <w:rsid w:val="0089000B"/>
    <w:rsid w:val="0089382E"/>
    <w:rsid w:val="008A03D1"/>
    <w:rsid w:val="008C51F4"/>
    <w:rsid w:val="008D71CF"/>
    <w:rsid w:val="008E32C8"/>
    <w:rsid w:val="008F718B"/>
    <w:rsid w:val="009104BA"/>
    <w:rsid w:val="00910574"/>
    <w:rsid w:val="00912FEF"/>
    <w:rsid w:val="00923A6A"/>
    <w:rsid w:val="0093263D"/>
    <w:rsid w:val="00933DE4"/>
    <w:rsid w:val="00934E36"/>
    <w:rsid w:val="00935ECA"/>
    <w:rsid w:val="00943522"/>
    <w:rsid w:val="00946155"/>
    <w:rsid w:val="00971320"/>
    <w:rsid w:val="00973B83"/>
    <w:rsid w:val="00982E61"/>
    <w:rsid w:val="009838A1"/>
    <w:rsid w:val="00987636"/>
    <w:rsid w:val="009973C6"/>
    <w:rsid w:val="009A1C25"/>
    <w:rsid w:val="009B542A"/>
    <w:rsid w:val="009C40EF"/>
    <w:rsid w:val="009D727A"/>
    <w:rsid w:val="009E7FD7"/>
    <w:rsid w:val="009F637C"/>
    <w:rsid w:val="009F782B"/>
    <w:rsid w:val="00A1054C"/>
    <w:rsid w:val="00A11E1A"/>
    <w:rsid w:val="00A12723"/>
    <w:rsid w:val="00A17C7D"/>
    <w:rsid w:val="00A20B77"/>
    <w:rsid w:val="00A26EB2"/>
    <w:rsid w:val="00A27CE0"/>
    <w:rsid w:val="00A37AC6"/>
    <w:rsid w:val="00A44B0C"/>
    <w:rsid w:val="00A47895"/>
    <w:rsid w:val="00A51E90"/>
    <w:rsid w:val="00A61651"/>
    <w:rsid w:val="00A616B2"/>
    <w:rsid w:val="00A63988"/>
    <w:rsid w:val="00A6565D"/>
    <w:rsid w:val="00A661B3"/>
    <w:rsid w:val="00A7739D"/>
    <w:rsid w:val="00A95CD4"/>
    <w:rsid w:val="00AA03A7"/>
    <w:rsid w:val="00AA7B2F"/>
    <w:rsid w:val="00AB2749"/>
    <w:rsid w:val="00AB3FF1"/>
    <w:rsid w:val="00AB47B5"/>
    <w:rsid w:val="00AD07B9"/>
    <w:rsid w:val="00AE20DC"/>
    <w:rsid w:val="00AF6A59"/>
    <w:rsid w:val="00B04106"/>
    <w:rsid w:val="00B06073"/>
    <w:rsid w:val="00B12A80"/>
    <w:rsid w:val="00B17D41"/>
    <w:rsid w:val="00B23F4F"/>
    <w:rsid w:val="00B25403"/>
    <w:rsid w:val="00B26381"/>
    <w:rsid w:val="00B2708F"/>
    <w:rsid w:val="00B34D34"/>
    <w:rsid w:val="00B36518"/>
    <w:rsid w:val="00B4007A"/>
    <w:rsid w:val="00B41749"/>
    <w:rsid w:val="00B43E25"/>
    <w:rsid w:val="00B472E2"/>
    <w:rsid w:val="00B52382"/>
    <w:rsid w:val="00B577A1"/>
    <w:rsid w:val="00B57B70"/>
    <w:rsid w:val="00B61029"/>
    <w:rsid w:val="00B65516"/>
    <w:rsid w:val="00B7711C"/>
    <w:rsid w:val="00B86149"/>
    <w:rsid w:val="00B96A58"/>
    <w:rsid w:val="00B9798C"/>
    <w:rsid w:val="00BA5933"/>
    <w:rsid w:val="00BC6B36"/>
    <w:rsid w:val="00BD4D3E"/>
    <w:rsid w:val="00BD6698"/>
    <w:rsid w:val="00BE2878"/>
    <w:rsid w:val="00BF4C28"/>
    <w:rsid w:val="00BF5B25"/>
    <w:rsid w:val="00C003A7"/>
    <w:rsid w:val="00C033A4"/>
    <w:rsid w:val="00C05D9D"/>
    <w:rsid w:val="00C17244"/>
    <w:rsid w:val="00C23662"/>
    <w:rsid w:val="00C25A9E"/>
    <w:rsid w:val="00C35ACB"/>
    <w:rsid w:val="00C35CC8"/>
    <w:rsid w:val="00C3619A"/>
    <w:rsid w:val="00C410EE"/>
    <w:rsid w:val="00C47095"/>
    <w:rsid w:val="00C5519E"/>
    <w:rsid w:val="00C62F6D"/>
    <w:rsid w:val="00C653ED"/>
    <w:rsid w:val="00C70DF0"/>
    <w:rsid w:val="00C83C45"/>
    <w:rsid w:val="00C86B39"/>
    <w:rsid w:val="00C8777F"/>
    <w:rsid w:val="00C92D1D"/>
    <w:rsid w:val="00C935E0"/>
    <w:rsid w:val="00CB0016"/>
    <w:rsid w:val="00CB5675"/>
    <w:rsid w:val="00CB5E1D"/>
    <w:rsid w:val="00CD224E"/>
    <w:rsid w:val="00CD5BBB"/>
    <w:rsid w:val="00CD6AE5"/>
    <w:rsid w:val="00CD7EED"/>
    <w:rsid w:val="00CE1B2B"/>
    <w:rsid w:val="00CE5939"/>
    <w:rsid w:val="00CF71BE"/>
    <w:rsid w:val="00D03413"/>
    <w:rsid w:val="00D03419"/>
    <w:rsid w:val="00D0649C"/>
    <w:rsid w:val="00D2006B"/>
    <w:rsid w:val="00D244F6"/>
    <w:rsid w:val="00D3323D"/>
    <w:rsid w:val="00D363D1"/>
    <w:rsid w:val="00D4576D"/>
    <w:rsid w:val="00D551ED"/>
    <w:rsid w:val="00D639C3"/>
    <w:rsid w:val="00D63E53"/>
    <w:rsid w:val="00D655DE"/>
    <w:rsid w:val="00D67445"/>
    <w:rsid w:val="00D8064C"/>
    <w:rsid w:val="00D81945"/>
    <w:rsid w:val="00D91FA9"/>
    <w:rsid w:val="00DA14C7"/>
    <w:rsid w:val="00DA664C"/>
    <w:rsid w:val="00DB095E"/>
    <w:rsid w:val="00DB13A8"/>
    <w:rsid w:val="00DB18EF"/>
    <w:rsid w:val="00DB3225"/>
    <w:rsid w:val="00DB6272"/>
    <w:rsid w:val="00DC0F65"/>
    <w:rsid w:val="00DC140E"/>
    <w:rsid w:val="00DC2071"/>
    <w:rsid w:val="00DD04B3"/>
    <w:rsid w:val="00DE6BBD"/>
    <w:rsid w:val="00DF0C8F"/>
    <w:rsid w:val="00DF4108"/>
    <w:rsid w:val="00E02A14"/>
    <w:rsid w:val="00E2043B"/>
    <w:rsid w:val="00E23963"/>
    <w:rsid w:val="00E30091"/>
    <w:rsid w:val="00E33EB6"/>
    <w:rsid w:val="00E37F64"/>
    <w:rsid w:val="00E546F7"/>
    <w:rsid w:val="00E60CED"/>
    <w:rsid w:val="00E679E8"/>
    <w:rsid w:val="00E77A1D"/>
    <w:rsid w:val="00E81AF7"/>
    <w:rsid w:val="00E90BB9"/>
    <w:rsid w:val="00EA7EB5"/>
    <w:rsid w:val="00EB2923"/>
    <w:rsid w:val="00EB4CC8"/>
    <w:rsid w:val="00EB5B62"/>
    <w:rsid w:val="00EB7FAE"/>
    <w:rsid w:val="00EC07B8"/>
    <w:rsid w:val="00EC3CED"/>
    <w:rsid w:val="00EC54B0"/>
    <w:rsid w:val="00EC6809"/>
    <w:rsid w:val="00ED267B"/>
    <w:rsid w:val="00EE1B61"/>
    <w:rsid w:val="00EE2D38"/>
    <w:rsid w:val="00F008EB"/>
    <w:rsid w:val="00F11418"/>
    <w:rsid w:val="00F20579"/>
    <w:rsid w:val="00F21925"/>
    <w:rsid w:val="00F34B9A"/>
    <w:rsid w:val="00F430AC"/>
    <w:rsid w:val="00F43314"/>
    <w:rsid w:val="00F4732E"/>
    <w:rsid w:val="00F61307"/>
    <w:rsid w:val="00F64B73"/>
    <w:rsid w:val="00F7279A"/>
    <w:rsid w:val="00F80B5F"/>
    <w:rsid w:val="00F82123"/>
    <w:rsid w:val="00F85E7B"/>
    <w:rsid w:val="00F93231"/>
    <w:rsid w:val="00FA4596"/>
    <w:rsid w:val="00FA4EC0"/>
    <w:rsid w:val="00FA6836"/>
    <w:rsid w:val="00FC250C"/>
    <w:rsid w:val="00FD6CBF"/>
    <w:rsid w:val="00FE1819"/>
    <w:rsid w:val="00FE365D"/>
    <w:rsid w:val="00FE3D8F"/>
    <w:rsid w:val="00FF0285"/>
    <w:rsid w:val="00FF459F"/>
    <w:rsid w:val="00FF4A32"/>
    <w:rsid w:val="00FF639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0DC4710-E021-4AB2-A355-C7D250E44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5FE0"/>
    <w:rPr>
      <w:sz w:val="28"/>
    </w:rPr>
  </w:style>
  <w:style w:type="paragraph" w:styleId="Nagwek1">
    <w:name w:val="heading 1"/>
    <w:basedOn w:val="Normalny"/>
    <w:next w:val="Normalny"/>
    <w:qFormat/>
    <w:rsid w:val="006A5FE0"/>
    <w:pPr>
      <w:keepNext/>
      <w:outlineLvl w:val="0"/>
    </w:pPr>
    <w:rPr>
      <w:rFonts w:ascii="Arial" w:hAnsi="Arial"/>
      <w:i/>
      <w:snapToGrid w:val="0"/>
      <w:sz w:val="16"/>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6A5FE0"/>
    <w:pPr>
      <w:spacing w:line="360" w:lineRule="auto"/>
      <w:jc w:val="both"/>
    </w:pPr>
    <w:rPr>
      <w:rFonts w:ascii="Arial" w:hAnsi="Arial"/>
      <w:sz w:val="16"/>
    </w:rPr>
  </w:style>
  <w:style w:type="paragraph" w:styleId="Nagwek">
    <w:name w:val="header"/>
    <w:basedOn w:val="Normalny"/>
    <w:rsid w:val="006A5FE0"/>
    <w:pPr>
      <w:tabs>
        <w:tab w:val="center" w:pos="4536"/>
        <w:tab w:val="right" w:pos="9072"/>
      </w:tabs>
    </w:pPr>
  </w:style>
  <w:style w:type="paragraph" w:customStyle="1" w:styleId="1">
    <w:name w:val="1)"/>
    <w:basedOn w:val="Normalny"/>
    <w:rsid w:val="006A5FE0"/>
    <w:pPr>
      <w:tabs>
        <w:tab w:val="left" w:pos="227"/>
      </w:tabs>
      <w:ind w:left="227" w:hanging="227"/>
      <w:jc w:val="both"/>
    </w:pPr>
    <w:rPr>
      <w:rFonts w:ascii="Arial" w:hAnsi="Arial"/>
      <w:sz w:val="16"/>
    </w:rPr>
  </w:style>
  <w:style w:type="paragraph" w:customStyle="1" w:styleId="uwagiangielskie">
    <w:name w:val="uwagi angielskie"/>
    <w:basedOn w:val="1"/>
    <w:rsid w:val="006A5FE0"/>
    <w:rPr>
      <w:i/>
      <w:lang w:val="en-GB"/>
    </w:rPr>
  </w:style>
  <w:style w:type="paragraph" w:customStyle="1" w:styleId="10">
    <w:name w:val="1"/>
    <w:basedOn w:val="1"/>
    <w:rsid w:val="006A5FE0"/>
    <w:pPr>
      <w:tabs>
        <w:tab w:val="clear" w:pos="227"/>
        <w:tab w:val="left" w:pos="397"/>
      </w:tabs>
      <w:ind w:left="0" w:firstLine="113"/>
    </w:pPr>
  </w:style>
  <w:style w:type="paragraph" w:customStyle="1" w:styleId="a">
    <w:name w:val="a)"/>
    <w:basedOn w:val="1"/>
    <w:rsid w:val="006A5FE0"/>
    <w:pPr>
      <w:tabs>
        <w:tab w:val="clear" w:pos="227"/>
        <w:tab w:val="left" w:pos="454"/>
      </w:tabs>
      <w:ind w:left="454"/>
    </w:pPr>
  </w:style>
  <w:style w:type="paragraph" w:customStyle="1" w:styleId="1ang">
    <w:name w:val="1 ang"/>
    <w:basedOn w:val="10"/>
    <w:rsid w:val="006A5FE0"/>
    <w:rPr>
      <w:i/>
      <w:lang w:val="en-US"/>
    </w:rPr>
  </w:style>
  <w:style w:type="paragraph" w:customStyle="1" w:styleId="1ang0">
    <w:name w:val="1) ang"/>
    <w:basedOn w:val="1"/>
    <w:rsid w:val="006A5FE0"/>
    <w:rPr>
      <w:i/>
      <w:lang w:val="en-US"/>
    </w:rPr>
  </w:style>
  <w:style w:type="paragraph" w:customStyle="1" w:styleId="aang">
    <w:name w:val="a) ang"/>
    <w:basedOn w:val="a"/>
    <w:rsid w:val="006A5FE0"/>
    <w:rPr>
      <w:i/>
      <w:lang w:val="en-US"/>
    </w:rPr>
  </w:style>
  <w:style w:type="paragraph" w:customStyle="1" w:styleId="poa">
    <w:name w:val="— po a)"/>
    <w:basedOn w:val="a"/>
    <w:rsid w:val="006A5FE0"/>
    <w:pPr>
      <w:widowControl w:val="0"/>
      <w:tabs>
        <w:tab w:val="clear" w:pos="454"/>
        <w:tab w:val="left" w:pos="680"/>
      </w:tabs>
      <w:ind w:left="681"/>
    </w:pPr>
  </w:style>
  <w:style w:type="paragraph" w:customStyle="1" w:styleId="poaang">
    <w:name w:val="— po a) ang"/>
    <w:basedOn w:val="poa"/>
    <w:rsid w:val="006A5FE0"/>
    <w:rPr>
      <w:i/>
      <w:lang w:val="en-US"/>
    </w:rPr>
  </w:style>
  <w:style w:type="paragraph" w:styleId="Stopka">
    <w:name w:val="footer"/>
    <w:basedOn w:val="Normalny"/>
    <w:rsid w:val="006A5FE0"/>
    <w:pPr>
      <w:tabs>
        <w:tab w:val="center" w:pos="4536"/>
        <w:tab w:val="right" w:pos="9072"/>
      </w:tabs>
    </w:pPr>
  </w:style>
  <w:style w:type="character" w:styleId="Numerstrony">
    <w:name w:val="page number"/>
    <w:basedOn w:val="Domylnaczcionkaakapitu"/>
    <w:rsid w:val="006A5FE0"/>
  </w:style>
  <w:style w:type="paragraph" w:customStyle="1" w:styleId="1angod1do9">
    <w:name w:val="1 ang od 1 do 9"/>
    <w:basedOn w:val="1ang"/>
    <w:rsid w:val="006A5FE0"/>
    <w:pPr>
      <w:tabs>
        <w:tab w:val="clear" w:pos="397"/>
        <w:tab w:val="left" w:pos="340"/>
      </w:tabs>
    </w:pPr>
    <w:rPr>
      <w:lang w:val="en-GB"/>
    </w:rPr>
  </w:style>
  <w:style w:type="paragraph" w:customStyle="1" w:styleId="1od1do9">
    <w:name w:val="1 od 1 do 9"/>
    <w:basedOn w:val="10"/>
    <w:rsid w:val="006A5FE0"/>
    <w:pPr>
      <w:tabs>
        <w:tab w:val="clear" w:pos="397"/>
        <w:tab w:val="left" w:pos="340"/>
      </w:tabs>
    </w:pPr>
  </w:style>
  <w:style w:type="paragraph" w:styleId="Tekstpodstawowywcity">
    <w:name w:val="Body Text Indent"/>
    <w:basedOn w:val="Normalny"/>
    <w:rsid w:val="006A5FE0"/>
    <w:pPr>
      <w:autoSpaceDE w:val="0"/>
      <w:autoSpaceDN w:val="0"/>
      <w:adjustRightInd w:val="0"/>
      <w:ind w:left="214" w:hanging="214"/>
      <w:jc w:val="both"/>
    </w:pPr>
    <w:rPr>
      <w:rFonts w:ascii="Arial" w:hAnsi="Arial" w:cs="Arial"/>
      <w:sz w:val="16"/>
      <w:szCs w:val="15"/>
    </w:rPr>
  </w:style>
  <w:style w:type="paragraph" w:styleId="Tekstpodstawowywcity2">
    <w:name w:val="Body Text Indent 2"/>
    <w:basedOn w:val="Normalny"/>
    <w:rsid w:val="006A5FE0"/>
    <w:pPr>
      <w:autoSpaceDE w:val="0"/>
      <w:autoSpaceDN w:val="0"/>
      <w:adjustRightInd w:val="0"/>
      <w:ind w:left="214" w:hanging="214"/>
    </w:pPr>
    <w:rPr>
      <w:rFonts w:ascii="Arial" w:hAnsi="Arial" w:cs="Arial"/>
      <w:sz w:val="16"/>
      <w:szCs w:val="15"/>
    </w:rPr>
  </w:style>
  <w:style w:type="paragraph" w:styleId="Tekstpodstawowy2">
    <w:name w:val="Body Text 2"/>
    <w:basedOn w:val="Normalny"/>
    <w:rsid w:val="006A5FE0"/>
    <w:pPr>
      <w:autoSpaceDE w:val="0"/>
      <w:autoSpaceDN w:val="0"/>
      <w:adjustRightInd w:val="0"/>
    </w:pPr>
    <w:rPr>
      <w:rFonts w:ascii="Arial" w:hAnsi="Arial" w:cs="Arial"/>
      <w:i/>
      <w:iCs/>
      <w:sz w:val="16"/>
      <w:szCs w:val="15"/>
      <w:lang w:val="en-GB"/>
    </w:rPr>
  </w:style>
  <w:style w:type="character" w:customStyle="1" w:styleId="Teksttreci4Pogrubienie">
    <w:name w:val="Tekst treści (4) + Pogrubienie"/>
    <w:rsid w:val="006B7F85"/>
    <w:rPr>
      <w:rFonts w:ascii="Arial" w:hAnsi="Arial" w:cs="Arial"/>
      <w:b/>
      <w:bCs/>
      <w:sz w:val="16"/>
      <w:szCs w:val="16"/>
      <w:lang w:val="pl-PL" w:eastAsia="pl-PL" w:bidi="ar-SA"/>
    </w:rPr>
  </w:style>
  <w:style w:type="paragraph" w:styleId="Akapitzlist">
    <w:name w:val="List Paragraph"/>
    <w:basedOn w:val="Normalny"/>
    <w:uiPriority w:val="34"/>
    <w:qFormat/>
    <w:rsid w:val="006B7F85"/>
    <w:pPr>
      <w:spacing w:after="200"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uiPriority w:val="99"/>
    <w:semiHidden/>
    <w:unhideWhenUsed/>
    <w:rsid w:val="006D5447"/>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5447"/>
    <w:rPr>
      <w:rFonts w:ascii="Segoe UI" w:hAnsi="Segoe UI" w:cs="Segoe UI"/>
      <w:sz w:val="18"/>
      <w:szCs w:val="18"/>
    </w:rPr>
  </w:style>
  <w:style w:type="character" w:customStyle="1" w:styleId="Boldpol">
    <w:name w:val="Bold pol."/>
    <w:uiPriority w:val="99"/>
    <w:rsid w:val="006F1D84"/>
    <w:rPr>
      <w:rFonts w:ascii="Arial" w:hAnsi="Arial" w:cs="Arial"/>
      <w:b/>
      <w:bCs/>
      <w:color w:val="000000"/>
      <w:w w:val="100"/>
    </w:rPr>
  </w:style>
  <w:style w:type="paragraph" w:styleId="Tekstkomentarza">
    <w:name w:val="annotation text"/>
    <w:basedOn w:val="Normalny"/>
    <w:link w:val="TekstkomentarzaZnak"/>
    <w:uiPriority w:val="99"/>
    <w:semiHidden/>
    <w:unhideWhenUsed/>
    <w:rsid w:val="00B57B70"/>
    <w:rPr>
      <w:sz w:val="20"/>
    </w:rPr>
  </w:style>
  <w:style w:type="character" w:customStyle="1" w:styleId="TekstkomentarzaZnak">
    <w:name w:val="Tekst komentarza Znak"/>
    <w:basedOn w:val="Domylnaczcionkaakapitu"/>
    <w:link w:val="Tekstkomentarza"/>
    <w:uiPriority w:val="99"/>
    <w:semiHidden/>
    <w:rsid w:val="00B57B70"/>
  </w:style>
  <w:style w:type="paragraph" w:styleId="Tematkomentarza">
    <w:name w:val="annotation subject"/>
    <w:basedOn w:val="Tekstkomentarza"/>
    <w:next w:val="Tekstkomentarza"/>
    <w:link w:val="TematkomentarzaZnak"/>
    <w:uiPriority w:val="99"/>
    <w:semiHidden/>
    <w:unhideWhenUsed/>
    <w:rsid w:val="00B57B70"/>
    <w:pPr>
      <w:widowControl w:val="0"/>
      <w:autoSpaceDE w:val="0"/>
      <w:autoSpaceDN w:val="0"/>
      <w:adjustRightInd w:val="0"/>
    </w:pPr>
    <w:rPr>
      <w:rFonts w:ascii="Arial" w:hAnsi="Arial" w:cs="Arial"/>
      <w:b/>
      <w:bCs/>
      <w:sz w:val="14"/>
    </w:rPr>
  </w:style>
  <w:style w:type="character" w:customStyle="1" w:styleId="TematkomentarzaZnak">
    <w:name w:val="Temat komentarza Znak"/>
    <w:basedOn w:val="TekstkomentarzaZnak"/>
    <w:link w:val="Tematkomentarza"/>
    <w:uiPriority w:val="99"/>
    <w:semiHidden/>
    <w:rsid w:val="00B57B70"/>
    <w:rPr>
      <w:rFonts w:ascii="Arial" w:hAnsi="Arial" w:cs="Arial"/>
      <w:b/>
      <w:bCs/>
      <w:sz w:val="14"/>
    </w:rPr>
  </w:style>
  <w:style w:type="paragraph" w:customStyle="1" w:styleId="Styl1">
    <w:name w:val="Styl1"/>
    <w:basedOn w:val="Normalny"/>
    <w:link w:val="Styl1Znak"/>
    <w:qFormat/>
    <w:rsid w:val="00934E36"/>
    <w:pPr>
      <w:numPr>
        <w:numId w:val="8"/>
      </w:numPr>
      <w:jc w:val="both"/>
    </w:pPr>
    <w:rPr>
      <w:b/>
      <w:sz w:val="24"/>
      <w:lang w:val="x-none" w:eastAsia="x-none"/>
    </w:rPr>
  </w:style>
  <w:style w:type="character" w:customStyle="1" w:styleId="Styl1Znak">
    <w:name w:val="Styl1 Znak"/>
    <w:link w:val="Styl1"/>
    <w:rsid w:val="00934E36"/>
    <w:rPr>
      <w:b/>
      <w:sz w:val="24"/>
      <w:lang w:val="x-none" w:eastAsia="x-none"/>
    </w:rPr>
  </w:style>
  <w:style w:type="paragraph" w:customStyle="1" w:styleId="Opis1ang">
    <w:name w:val="Opis 1 ang"/>
    <w:basedOn w:val="Normalny"/>
    <w:uiPriority w:val="99"/>
    <w:rsid w:val="00934E36"/>
    <w:pPr>
      <w:widowControl w:val="0"/>
      <w:tabs>
        <w:tab w:val="left" w:pos="499"/>
      </w:tabs>
      <w:autoSpaceDE w:val="0"/>
      <w:autoSpaceDN w:val="0"/>
      <w:adjustRightInd w:val="0"/>
      <w:spacing w:before="113" w:line="180" w:lineRule="atLeast"/>
      <w:ind w:firstLine="227"/>
      <w:jc w:val="both"/>
      <w:textAlignment w:val="center"/>
    </w:pPr>
    <w:rPr>
      <w:rFonts w:ascii="Arial" w:eastAsiaTheme="minorEastAsia" w:hAnsi="Arial" w:cs="Arial"/>
      <w:color w:val="656565"/>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7B9E7-043D-48B0-9D99-ED5DDD73B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Pages>
  <Words>3151</Words>
  <Characters>18912</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1</vt:lpstr>
    </vt:vector>
  </TitlesOfParts>
  <Company>US Radom</Company>
  <LinksUpToDate>false</LinksUpToDate>
  <CharactersWithSpaces>22019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Grzes</dc:creator>
  <cp:lastModifiedBy>Litkowiec Rajmund</cp:lastModifiedBy>
  <cp:revision>17</cp:revision>
  <cp:lastPrinted>2019-12-12T07:45:00Z</cp:lastPrinted>
  <dcterms:created xsi:type="dcterms:W3CDTF">2019-12-12T06:56:00Z</dcterms:created>
  <dcterms:modified xsi:type="dcterms:W3CDTF">2019-12-18T11:22:00Z</dcterms:modified>
</cp:coreProperties>
</file>